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E92C" w14:textId="3FD8822C" w:rsidR="00FF38E3" w:rsidRPr="005C579B" w:rsidRDefault="00FF38E3" w:rsidP="00F42B4D">
      <w:pPr>
        <w:spacing w:after="0"/>
        <w:rPr>
          <w:rFonts w:ascii="Arial" w:hAnsi="Arial" w:cs="Arial"/>
          <w:color w:val="D9D9D9" w:themeColor="background1" w:themeShade="D9"/>
          <w:sz w:val="24"/>
          <w:szCs w:val="24"/>
        </w:rPr>
      </w:pPr>
      <w:r w:rsidRPr="00FF38E3">
        <w:rPr>
          <w:rFonts w:ascii="Arial" w:hAnsi="Arial" w:cs="Arial"/>
          <w:sz w:val="24"/>
          <w:szCs w:val="24"/>
        </w:rPr>
        <w:t>Policy Name:</w:t>
      </w:r>
      <w:r w:rsidR="00C27FD5">
        <w:rPr>
          <w:rFonts w:ascii="Arial" w:hAnsi="Arial" w:cs="Arial"/>
          <w:sz w:val="24"/>
          <w:szCs w:val="24"/>
        </w:rPr>
        <w:t xml:space="preserve"> </w:t>
      </w:r>
      <w:r w:rsidR="00D44159">
        <w:rPr>
          <w:rFonts w:ascii="Arial" w:hAnsi="Arial" w:cs="Arial"/>
          <w:sz w:val="24"/>
          <w:szCs w:val="24"/>
        </w:rPr>
        <w:tab/>
      </w:r>
      <w:r w:rsidR="00D44159">
        <w:rPr>
          <w:rFonts w:ascii="Arial" w:hAnsi="Arial" w:cs="Arial"/>
          <w:sz w:val="24"/>
          <w:szCs w:val="24"/>
        </w:rPr>
        <w:tab/>
      </w:r>
      <w:r w:rsidR="00DB41D8">
        <w:rPr>
          <w:rFonts w:ascii="Arial" w:hAnsi="Arial" w:cs="Arial"/>
          <w:sz w:val="24"/>
          <w:szCs w:val="24"/>
        </w:rPr>
        <w:t>Academic Progression</w:t>
      </w:r>
      <w:r w:rsidR="007E3F1F">
        <w:rPr>
          <w:rFonts w:ascii="Arial" w:hAnsi="Arial" w:cs="Arial"/>
          <w:sz w:val="24"/>
          <w:szCs w:val="24"/>
        </w:rPr>
        <w:t xml:space="preserve"> </w:t>
      </w:r>
    </w:p>
    <w:p w14:paraId="6DF5E358" w14:textId="2431D37F" w:rsidR="00FF38E3" w:rsidRPr="00FF38E3" w:rsidRDefault="00FF38E3" w:rsidP="00C27FD5">
      <w:pPr>
        <w:spacing w:after="0"/>
        <w:rPr>
          <w:rFonts w:ascii="Arial" w:hAnsi="Arial" w:cs="Arial"/>
          <w:sz w:val="24"/>
          <w:szCs w:val="24"/>
        </w:rPr>
      </w:pPr>
      <w:r w:rsidRPr="00FF38E3">
        <w:rPr>
          <w:rFonts w:ascii="Arial" w:hAnsi="Arial" w:cs="Arial"/>
          <w:sz w:val="24"/>
          <w:szCs w:val="24"/>
        </w:rPr>
        <w:t>Policy Number:</w:t>
      </w:r>
      <w:r w:rsidR="00D44159">
        <w:rPr>
          <w:rFonts w:ascii="Arial" w:hAnsi="Arial" w:cs="Arial"/>
          <w:sz w:val="24"/>
          <w:szCs w:val="24"/>
        </w:rPr>
        <w:tab/>
      </w:r>
      <w:r w:rsidR="007E3F1F">
        <w:rPr>
          <w:rFonts w:ascii="Arial" w:hAnsi="Arial" w:cs="Arial"/>
          <w:sz w:val="24"/>
          <w:szCs w:val="24"/>
        </w:rPr>
        <w:tab/>
      </w:r>
      <w:r w:rsidR="00DB41D8">
        <w:rPr>
          <w:rFonts w:ascii="Arial" w:hAnsi="Arial" w:cs="Arial"/>
          <w:sz w:val="24"/>
          <w:szCs w:val="24"/>
        </w:rPr>
        <w:t>ACA 2.02</w:t>
      </w:r>
      <w:r w:rsidR="00D44159">
        <w:rPr>
          <w:rFonts w:ascii="Arial" w:hAnsi="Arial" w:cs="Arial"/>
          <w:sz w:val="24"/>
          <w:szCs w:val="24"/>
        </w:rPr>
        <w:tab/>
      </w:r>
    </w:p>
    <w:p w14:paraId="0D1FA72D" w14:textId="1EFE6836" w:rsidR="00FF38E3" w:rsidRPr="00FF38E3" w:rsidRDefault="00E5497F" w:rsidP="00C27FD5">
      <w:pPr>
        <w:spacing w:after="0"/>
        <w:rPr>
          <w:rFonts w:ascii="Arial" w:hAnsi="Arial" w:cs="Arial"/>
          <w:sz w:val="24"/>
          <w:szCs w:val="24"/>
        </w:rPr>
      </w:pPr>
      <w:r>
        <w:rPr>
          <w:rFonts w:ascii="Arial" w:hAnsi="Arial" w:cs="Arial"/>
          <w:sz w:val="24"/>
          <w:szCs w:val="24"/>
        </w:rPr>
        <w:t>Title of Policy Owner</w:t>
      </w:r>
      <w:r w:rsidR="005C579B">
        <w:rPr>
          <w:rFonts w:ascii="Arial" w:hAnsi="Arial" w:cs="Arial"/>
          <w:sz w:val="24"/>
          <w:szCs w:val="24"/>
        </w:rPr>
        <w:t>:</w:t>
      </w:r>
      <w:r>
        <w:rPr>
          <w:rFonts w:ascii="Arial" w:hAnsi="Arial" w:cs="Arial"/>
          <w:sz w:val="24"/>
          <w:szCs w:val="24"/>
        </w:rPr>
        <w:t xml:space="preserve"> </w:t>
      </w:r>
      <w:r w:rsidR="00D44159">
        <w:rPr>
          <w:rFonts w:ascii="Arial" w:hAnsi="Arial" w:cs="Arial"/>
          <w:sz w:val="24"/>
          <w:szCs w:val="24"/>
        </w:rPr>
        <w:tab/>
      </w:r>
      <w:r w:rsidR="00DB41D8">
        <w:rPr>
          <w:rFonts w:ascii="Arial" w:hAnsi="Arial" w:cs="Arial"/>
          <w:sz w:val="24"/>
          <w:szCs w:val="24"/>
        </w:rPr>
        <w:t>Student Services</w:t>
      </w:r>
      <w:r w:rsidR="007E3F1F">
        <w:rPr>
          <w:rFonts w:ascii="Arial" w:hAnsi="Arial" w:cs="Arial"/>
          <w:sz w:val="24"/>
          <w:szCs w:val="24"/>
        </w:rPr>
        <w:t xml:space="preserve"> </w:t>
      </w:r>
      <w:r w:rsidR="007E3F1F">
        <w:rPr>
          <w:rFonts w:ascii="Arial" w:hAnsi="Arial" w:cs="Arial"/>
          <w:sz w:val="24"/>
          <w:szCs w:val="24"/>
        </w:rPr>
        <w:tab/>
      </w:r>
    </w:p>
    <w:p w14:paraId="125D231F" w14:textId="27511C6A" w:rsidR="00FF38E3" w:rsidRPr="00FF38E3" w:rsidRDefault="00FF38E3" w:rsidP="00C27FD5">
      <w:pPr>
        <w:spacing w:after="0"/>
        <w:rPr>
          <w:rFonts w:ascii="Arial" w:hAnsi="Arial" w:cs="Arial"/>
          <w:sz w:val="24"/>
          <w:szCs w:val="24"/>
        </w:rPr>
      </w:pPr>
      <w:r>
        <w:rPr>
          <w:rFonts w:ascii="Arial" w:hAnsi="Arial" w:cs="Arial"/>
          <w:sz w:val="24"/>
          <w:szCs w:val="24"/>
        </w:rPr>
        <w:t>Approved by:</w:t>
      </w:r>
      <w:r w:rsidR="00C27FD5">
        <w:rPr>
          <w:rFonts w:ascii="Arial" w:hAnsi="Arial" w:cs="Arial"/>
          <w:sz w:val="24"/>
          <w:szCs w:val="24"/>
        </w:rPr>
        <w:t xml:space="preserve"> </w:t>
      </w:r>
      <w:r w:rsidR="00D44159">
        <w:rPr>
          <w:rFonts w:ascii="Arial" w:hAnsi="Arial" w:cs="Arial"/>
          <w:sz w:val="24"/>
          <w:szCs w:val="24"/>
        </w:rPr>
        <w:tab/>
      </w:r>
      <w:r w:rsidR="00D44159">
        <w:rPr>
          <w:rFonts w:ascii="Arial" w:hAnsi="Arial" w:cs="Arial"/>
          <w:sz w:val="24"/>
          <w:szCs w:val="24"/>
        </w:rPr>
        <w:tab/>
      </w:r>
      <w:r w:rsidR="00B61DC6">
        <w:rPr>
          <w:rFonts w:ascii="Arial" w:hAnsi="Arial" w:cs="Arial"/>
          <w:sz w:val="24"/>
          <w:szCs w:val="24"/>
        </w:rPr>
        <w:t>Executive Council</w:t>
      </w:r>
      <w:r w:rsidR="007E3F1F">
        <w:rPr>
          <w:rFonts w:ascii="Arial" w:hAnsi="Arial" w:cs="Arial"/>
          <w:sz w:val="24"/>
          <w:szCs w:val="24"/>
        </w:rPr>
        <w:t xml:space="preserve"> </w:t>
      </w:r>
    </w:p>
    <w:p w14:paraId="1A191177" w14:textId="1887212E" w:rsidR="00FF38E3" w:rsidRPr="00FF38E3" w:rsidRDefault="00FF38E3" w:rsidP="00C27FD5">
      <w:pPr>
        <w:spacing w:after="0"/>
        <w:rPr>
          <w:rFonts w:ascii="Arial" w:hAnsi="Arial" w:cs="Arial"/>
          <w:sz w:val="24"/>
          <w:szCs w:val="24"/>
        </w:rPr>
      </w:pPr>
      <w:r w:rsidRPr="00FF38E3">
        <w:rPr>
          <w:rFonts w:ascii="Arial" w:hAnsi="Arial" w:cs="Arial"/>
          <w:sz w:val="24"/>
          <w:szCs w:val="24"/>
        </w:rPr>
        <w:t>Effective Date:</w:t>
      </w:r>
      <w:r w:rsidR="00D44159">
        <w:rPr>
          <w:rFonts w:ascii="Arial" w:hAnsi="Arial" w:cs="Arial"/>
          <w:sz w:val="24"/>
          <w:szCs w:val="24"/>
        </w:rPr>
        <w:tab/>
      </w:r>
      <w:r w:rsidR="00D44159">
        <w:rPr>
          <w:rFonts w:ascii="Arial" w:hAnsi="Arial" w:cs="Arial"/>
          <w:sz w:val="24"/>
          <w:szCs w:val="24"/>
        </w:rPr>
        <w:tab/>
      </w:r>
      <w:r w:rsidR="007E3F1F">
        <w:rPr>
          <w:rFonts w:ascii="Arial" w:hAnsi="Arial" w:cs="Arial"/>
          <w:sz w:val="24"/>
          <w:szCs w:val="24"/>
        </w:rPr>
        <w:t>8/</w:t>
      </w:r>
      <w:r w:rsidR="00F900A7">
        <w:rPr>
          <w:rFonts w:ascii="Arial" w:hAnsi="Arial" w:cs="Arial"/>
          <w:sz w:val="24"/>
          <w:szCs w:val="24"/>
        </w:rPr>
        <w:t>15</w:t>
      </w:r>
      <w:r w:rsidR="007E3F1F">
        <w:rPr>
          <w:rFonts w:ascii="Arial" w:hAnsi="Arial" w:cs="Arial"/>
          <w:sz w:val="24"/>
          <w:szCs w:val="24"/>
        </w:rPr>
        <w:t>/2021</w:t>
      </w:r>
    </w:p>
    <w:p w14:paraId="4EBFB45B" w14:textId="0C1D1207" w:rsidR="00FF38E3" w:rsidRPr="00FF38E3" w:rsidRDefault="00FF38E3" w:rsidP="00C27FD5">
      <w:pPr>
        <w:spacing w:after="0"/>
        <w:rPr>
          <w:rFonts w:ascii="Arial" w:hAnsi="Arial" w:cs="Arial"/>
          <w:sz w:val="24"/>
          <w:szCs w:val="24"/>
        </w:rPr>
      </w:pPr>
      <w:r w:rsidRPr="00FF38E3">
        <w:rPr>
          <w:rFonts w:ascii="Arial" w:hAnsi="Arial" w:cs="Arial"/>
          <w:sz w:val="24"/>
          <w:szCs w:val="24"/>
        </w:rPr>
        <w:t>Version:</w:t>
      </w:r>
      <w:r w:rsidR="00C27FD5">
        <w:rPr>
          <w:rFonts w:ascii="Arial" w:hAnsi="Arial" w:cs="Arial"/>
          <w:sz w:val="24"/>
          <w:szCs w:val="24"/>
        </w:rPr>
        <w:t xml:space="preserve"> </w:t>
      </w:r>
      <w:r w:rsidR="00D44159">
        <w:rPr>
          <w:rFonts w:ascii="Arial" w:hAnsi="Arial" w:cs="Arial"/>
          <w:sz w:val="24"/>
          <w:szCs w:val="24"/>
        </w:rPr>
        <w:tab/>
      </w:r>
      <w:r w:rsidR="00D44159">
        <w:rPr>
          <w:rFonts w:ascii="Arial" w:hAnsi="Arial" w:cs="Arial"/>
          <w:sz w:val="24"/>
          <w:szCs w:val="24"/>
        </w:rPr>
        <w:tab/>
      </w:r>
      <w:r w:rsidR="00D44159">
        <w:rPr>
          <w:rFonts w:ascii="Arial" w:hAnsi="Arial" w:cs="Arial"/>
          <w:sz w:val="24"/>
          <w:szCs w:val="24"/>
        </w:rPr>
        <w:tab/>
      </w:r>
      <w:r w:rsidR="007E3F1F">
        <w:rPr>
          <w:rFonts w:ascii="Arial" w:hAnsi="Arial" w:cs="Arial"/>
          <w:sz w:val="24"/>
          <w:szCs w:val="24"/>
        </w:rPr>
        <w:t>1.0</w:t>
      </w:r>
    </w:p>
    <w:p w14:paraId="2B76F4C1" w14:textId="615860E0" w:rsidR="00FF38E3" w:rsidRDefault="00FF38E3" w:rsidP="00C27FD5">
      <w:pPr>
        <w:spacing w:after="0"/>
        <w:rPr>
          <w:rFonts w:ascii="Arial" w:hAnsi="Arial" w:cs="Arial"/>
          <w:sz w:val="24"/>
          <w:szCs w:val="24"/>
        </w:rPr>
      </w:pPr>
      <w:r w:rsidRPr="00FF38E3">
        <w:rPr>
          <w:rFonts w:ascii="Arial" w:hAnsi="Arial" w:cs="Arial"/>
          <w:sz w:val="24"/>
          <w:szCs w:val="24"/>
        </w:rPr>
        <w:t>Policy Status:</w:t>
      </w:r>
      <w:r w:rsidR="00D44159">
        <w:rPr>
          <w:rFonts w:ascii="Arial" w:hAnsi="Arial" w:cs="Arial"/>
          <w:sz w:val="24"/>
          <w:szCs w:val="24"/>
        </w:rPr>
        <w:tab/>
      </w:r>
      <w:r w:rsidR="00D44159">
        <w:rPr>
          <w:rFonts w:ascii="Arial" w:hAnsi="Arial" w:cs="Arial"/>
          <w:sz w:val="24"/>
          <w:szCs w:val="24"/>
        </w:rPr>
        <w:tab/>
      </w:r>
      <w:r w:rsidR="007E3F1F">
        <w:rPr>
          <w:rFonts w:ascii="Arial" w:hAnsi="Arial" w:cs="Arial"/>
          <w:sz w:val="24"/>
          <w:szCs w:val="24"/>
        </w:rPr>
        <w:t>Approved</w:t>
      </w:r>
    </w:p>
    <w:p w14:paraId="0D9866F5" w14:textId="77777777" w:rsidR="00FF38E3" w:rsidRDefault="00FF38E3" w:rsidP="00FF38E3">
      <w:pPr>
        <w:spacing w:after="0"/>
        <w:rPr>
          <w:rFonts w:ascii="Arial" w:hAnsi="Arial" w:cs="Arial"/>
          <w:sz w:val="24"/>
          <w:szCs w:val="24"/>
        </w:rPr>
      </w:pPr>
    </w:p>
    <w:p w14:paraId="2AB28C7D" w14:textId="4F3611EE" w:rsidR="00FF38E3" w:rsidRDefault="00FF38E3" w:rsidP="00FF38E3">
      <w:pPr>
        <w:pStyle w:val="ListParagraph"/>
        <w:numPr>
          <w:ilvl w:val="0"/>
          <w:numId w:val="1"/>
        </w:numPr>
        <w:spacing w:after="0"/>
        <w:rPr>
          <w:rFonts w:ascii="Arial" w:hAnsi="Arial" w:cs="Arial"/>
          <w:sz w:val="24"/>
          <w:szCs w:val="24"/>
        </w:rPr>
      </w:pPr>
      <w:r w:rsidRPr="007E3F1F">
        <w:rPr>
          <w:rFonts w:ascii="Arial" w:hAnsi="Arial" w:cs="Arial"/>
          <w:sz w:val="24"/>
          <w:szCs w:val="24"/>
        </w:rPr>
        <w:t>Policy</w:t>
      </w:r>
    </w:p>
    <w:p w14:paraId="685AC60E" w14:textId="77777777" w:rsidR="00CB0468" w:rsidRPr="007E3F1F" w:rsidRDefault="00CB0468" w:rsidP="00CB0468">
      <w:pPr>
        <w:pStyle w:val="ListParagraph"/>
        <w:spacing w:after="0"/>
        <w:ind w:left="1080"/>
        <w:rPr>
          <w:rFonts w:ascii="Arial" w:hAnsi="Arial" w:cs="Arial"/>
          <w:sz w:val="24"/>
          <w:szCs w:val="24"/>
        </w:rPr>
      </w:pPr>
    </w:p>
    <w:p w14:paraId="1EC455D4" w14:textId="226FD880" w:rsidR="00802103" w:rsidRDefault="007E3F1F" w:rsidP="00802103">
      <w:pPr>
        <w:pStyle w:val="ListParagraph"/>
        <w:spacing w:after="0"/>
        <w:ind w:left="1080"/>
        <w:rPr>
          <w:rFonts w:ascii="Arial" w:hAnsi="Arial" w:cs="Arial"/>
          <w:sz w:val="24"/>
          <w:szCs w:val="24"/>
        </w:rPr>
      </w:pPr>
      <w:r>
        <w:rPr>
          <w:rFonts w:ascii="Arial" w:hAnsi="Arial" w:cs="Arial"/>
          <w:sz w:val="24"/>
          <w:szCs w:val="24"/>
        </w:rPr>
        <w:t>Southside College</w:t>
      </w:r>
      <w:r w:rsidR="00F900A7">
        <w:rPr>
          <w:rFonts w:ascii="Arial" w:hAnsi="Arial" w:cs="Arial"/>
          <w:sz w:val="24"/>
          <w:szCs w:val="24"/>
        </w:rPr>
        <w:t xml:space="preserve"> of Health Sciences</w:t>
      </w:r>
      <w:r>
        <w:rPr>
          <w:rFonts w:ascii="Arial" w:hAnsi="Arial" w:cs="Arial"/>
          <w:sz w:val="24"/>
          <w:szCs w:val="24"/>
        </w:rPr>
        <w:t xml:space="preserve"> (SCHS) </w:t>
      </w:r>
      <w:r w:rsidR="00DB41D8" w:rsidRPr="00DB41D8">
        <w:rPr>
          <w:rFonts w:ascii="Arial" w:hAnsi="Arial" w:cs="Arial"/>
          <w:sz w:val="24"/>
          <w:szCs w:val="24"/>
        </w:rPr>
        <w:t>establishes academic conditions that determine a student’s scholastic standing at the College.</w:t>
      </w:r>
    </w:p>
    <w:p w14:paraId="1BC25425" w14:textId="77777777" w:rsidR="00802103" w:rsidRDefault="00802103" w:rsidP="00802103">
      <w:pPr>
        <w:pStyle w:val="ListParagraph"/>
        <w:spacing w:after="0"/>
        <w:ind w:left="1080"/>
        <w:rPr>
          <w:rFonts w:ascii="Arial" w:hAnsi="Arial" w:cs="Arial"/>
          <w:sz w:val="24"/>
          <w:szCs w:val="24"/>
        </w:rPr>
      </w:pPr>
    </w:p>
    <w:p w14:paraId="0922C7B7" w14:textId="532B8324" w:rsidR="00FF38E3" w:rsidRDefault="00FF38E3" w:rsidP="00FF38E3">
      <w:pPr>
        <w:pStyle w:val="ListParagraph"/>
        <w:numPr>
          <w:ilvl w:val="0"/>
          <w:numId w:val="1"/>
        </w:numPr>
        <w:spacing w:after="0"/>
        <w:rPr>
          <w:rFonts w:ascii="Arial" w:hAnsi="Arial" w:cs="Arial"/>
          <w:sz w:val="24"/>
          <w:szCs w:val="24"/>
        </w:rPr>
      </w:pPr>
      <w:r w:rsidRPr="00CB0468">
        <w:rPr>
          <w:rFonts w:ascii="Arial" w:hAnsi="Arial" w:cs="Arial"/>
          <w:sz w:val="24"/>
          <w:szCs w:val="24"/>
        </w:rPr>
        <w:t>Purpose</w:t>
      </w:r>
    </w:p>
    <w:p w14:paraId="4752D159" w14:textId="77777777" w:rsidR="00CB0468" w:rsidRPr="00CB0468" w:rsidRDefault="00CB0468" w:rsidP="00CB0468">
      <w:pPr>
        <w:pStyle w:val="ListParagraph"/>
        <w:spacing w:after="0"/>
        <w:ind w:left="1080"/>
        <w:rPr>
          <w:rFonts w:ascii="Arial" w:hAnsi="Arial" w:cs="Arial"/>
          <w:sz w:val="24"/>
          <w:szCs w:val="24"/>
        </w:rPr>
      </w:pPr>
    </w:p>
    <w:p w14:paraId="2AE7AF2B" w14:textId="54BB78B2" w:rsidR="00802103" w:rsidRDefault="00DB41D8" w:rsidP="00802103">
      <w:pPr>
        <w:pStyle w:val="ListParagraph"/>
        <w:spacing w:after="0"/>
        <w:ind w:left="1080"/>
        <w:rPr>
          <w:rFonts w:ascii="Arial" w:hAnsi="Arial" w:cs="Arial"/>
          <w:sz w:val="24"/>
          <w:szCs w:val="24"/>
        </w:rPr>
      </w:pPr>
      <w:r w:rsidRPr="00DB41D8">
        <w:rPr>
          <w:rFonts w:ascii="Arial" w:hAnsi="Arial" w:cs="Arial"/>
          <w:sz w:val="24"/>
          <w:szCs w:val="24"/>
        </w:rPr>
        <w:t>The purpose of th</w:t>
      </w:r>
      <w:r>
        <w:rPr>
          <w:rFonts w:ascii="Arial" w:hAnsi="Arial" w:cs="Arial"/>
          <w:sz w:val="24"/>
          <w:szCs w:val="24"/>
        </w:rPr>
        <w:t xml:space="preserve">is </w:t>
      </w:r>
      <w:r w:rsidRPr="00DB41D8">
        <w:rPr>
          <w:rFonts w:ascii="Arial" w:hAnsi="Arial" w:cs="Arial"/>
          <w:sz w:val="24"/>
          <w:szCs w:val="24"/>
        </w:rPr>
        <w:t xml:space="preserve">policy is to describe the academic conditions which are considered unsatisfactory and jeopardize a student’s scholastic standing at the College.   </w:t>
      </w:r>
    </w:p>
    <w:p w14:paraId="371224CC" w14:textId="77777777" w:rsidR="00DB41D8" w:rsidRDefault="00DB41D8" w:rsidP="00802103">
      <w:pPr>
        <w:pStyle w:val="ListParagraph"/>
        <w:spacing w:after="0"/>
        <w:ind w:left="1080"/>
        <w:rPr>
          <w:rFonts w:ascii="Arial" w:hAnsi="Arial" w:cs="Arial"/>
          <w:sz w:val="24"/>
          <w:szCs w:val="24"/>
        </w:rPr>
      </w:pPr>
    </w:p>
    <w:p w14:paraId="1537D52C" w14:textId="77777777" w:rsidR="00E5497F" w:rsidRDefault="00FF38E3" w:rsidP="00E5497F">
      <w:pPr>
        <w:pStyle w:val="ListParagraph"/>
        <w:numPr>
          <w:ilvl w:val="0"/>
          <w:numId w:val="1"/>
        </w:numPr>
        <w:spacing w:after="0"/>
        <w:rPr>
          <w:rFonts w:ascii="Arial" w:hAnsi="Arial" w:cs="Arial"/>
          <w:sz w:val="24"/>
          <w:szCs w:val="24"/>
        </w:rPr>
      </w:pPr>
      <w:r>
        <w:rPr>
          <w:rFonts w:ascii="Arial" w:hAnsi="Arial" w:cs="Arial"/>
          <w:sz w:val="24"/>
          <w:szCs w:val="24"/>
        </w:rPr>
        <w:t>Scope</w:t>
      </w:r>
    </w:p>
    <w:p w14:paraId="19F9B694" w14:textId="7D6CE4D1" w:rsidR="00E5497F" w:rsidRDefault="00E5497F" w:rsidP="00E5497F">
      <w:pPr>
        <w:pStyle w:val="ListParagraph"/>
        <w:spacing w:after="0"/>
        <w:ind w:left="1080"/>
        <w:rPr>
          <w:rFonts w:ascii="Arial" w:hAnsi="Arial" w:cs="Arial"/>
          <w:sz w:val="24"/>
          <w:szCs w:val="24"/>
        </w:rPr>
      </w:pPr>
    </w:p>
    <w:p w14:paraId="55932F0B" w14:textId="6A41B1B7" w:rsidR="00CB0468" w:rsidRDefault="00CB0468" w:rsidP="00E5497F">
      <w:pPr>
        <w:pStyle w:val="ListParagraph"/>
        <w:spacing w:after="0"/>
        <w:ind w:left="1080"/>
        <w:rPr>
          <w:rFonts w:ascii="Arial" w:hAnsi="Arial" w:cs="Arial"/>
          <w:sz w:val="24"/>
          <w:szCs w:val="24"/>
        </w:rPr>
      </w:pPr>
      <w:r>
        <w:rPr>
          <w:rFonts w:ascii="Arial" w:hAnsi="Arial" w:cs="Arial"/>
          <w:sz w:val="24"/>
          <w:szCs w:val="24"/>
        </w:rPr>
        <w:t>Th</w:t>
      </w:r>
      <w:r w:rsidR="007F348B">
        <w:rPr>
          <w:rFonts w:ascii="Arial" w:hAnsi="Arial" w:cs="Arial"/>
          <w:sz w:val="24"/>
          <w:szCs w:val="24"/>
        </w:rPr>
        <w:t xml:space="preserve">is policy applies to all students of SCHS. </w:t>
      </w:r>
    </w:p>
    <w:p w14:paraId="514A1547" w14:textId="77777777" w:rsidR="00E5497F" w:rsidRPr="00CB0468" w:rsidRDefault="00E5497F" w:rsidP="00E5497F">
      <w:pPr>
        <w:pStyle w:val="ListParagraph"/>
        <w:spacing w:after="0"/>
        <w:ind w:left="1080"/>
        <w:rPr>
          <w:rFonts w:ascii="Arial" w:hAnsi="Arial" w:cs="Arial"/>
          <w:sz w:val="24"/>
          <w:szCs w:val="24"/>
        </w:rPr>
      </w:pPr>
    </w:p>
    <w:p w14:paraId="221F27DA" w14:textId="4786F0B0" w:rsidR="00E5497F" w:rsidRDefault="00E5497F" w:rsidP="00E5497F">
      <w:pPr>
        <w:pStyle w:val="ListParagraph"/>
        <w:numPr>
          <w:ilvl w:val="0"/>
          <w:numId w:val="1"/>
        </w:numPr>
        <w:spacing w:after="0"/>
        <w:rPr>
          <w:rFonts w:ascii="Arial" w:hAnsi="Arial" w:cs="Arial"/>
          <w:sz w:val="24"/>
          <w:szCs w:val="24"/>
        </w:rPr>
      </w:pPr>
      <w:r w:rsidRPr="00CB0468">
        <w:rPr>
          <w:rFonts w:ascii="Arial" w:hAnsi="Arial" w:cs="Arial"/>
          <w:sz w:val="24"/>
          <w:szCs w:val="24"/>
        </w:rPr>
        <w:t>Definitions</w:t>
      </w:r>
    </w:p>
    <w:p w14:paraId="1ECC601D" w14:textId="77777777" w:rsidR="007F348B" w:rsidRPr="00CB0468" w:rsidRDefault="007F348B" w:rsidP="007F348B">
      <w:pPr>
        <w:pStyle w:val="ListParagraph"/>
        <w:spacing w:after="0"/>
        <w:ind w:left="1080"/>
        <w:rPr>
          <w:rFonts w:ascii="Arial" w:hAnsi="Arial" w:cs="Arial"/>
          <w:sz w:val="24"/>
          <w:szCs w:val="24"/>
        </w:rPr>
      </w:pPr>
    </w:p>
    <w:p w14:paraId="09DA99F7" w14:textId="77777777" w:rsidR="007F348B" w:rsidRPr="007F348B" w:rsidRDefault="007F348B" w:rsidP="007F348B">
      <w:pPr>
        <w:pStyle w:val="ListParagraph"/>
        <w:spacing w:after="0"/>
        <w:ind w:left="1080"/>
        <w:rPr>
          <w:rFonts w:ascii="Arial" w:hAnsi="Arial" w:cs="Arial"/>
          <w:sz w:val="24"/>
          <w:szCs w:val="24"/>
        </w:rPr>
      </w:pPr>
      <w:r w:rsidRPr="007F348B">
        <w:rPr>
          <w:rFonts w:ascii="Arial" w:hAnsi="Arial" w:cs="Arial"/>
          <w:b/>
          <w:bCs/>
          <w:sz w:val="24"/>
          <w:szCs w:val="24"/>
        </w:rPr>
        <w:t>Good Academic Standing</w:t>
      </w:r>
      <w:r w:rsidRPr="007F348B">
        <w:rPr>
          <w:rFonts w:ascii="Arial" w:hAnsi="Arial" w:cs="Arial"/>
          <w:sz w:val="24"/>
          <w:szCs w:val="24"/>
        </w:rPr>
        <w:t xml:space="preserve"> – is a designation indicating that a student has a minimum cumulative GPA of 2.0 and is eligible to continue or re-enroll at the College. </w:t>
      </w:r>
    </w:p>
    <w:p w14:paraId="3301103B" w14:textId="4182D460" w:rsidR="007F348B" w:rsidRPr="007F348B" w:rsidRDefault="007F348B" w:rsidP="007F348B">
      <w:pPr>
        <w:spacing w:after="0"/>
        <w:rPr>
          <w:rFonts w:ascii="Arial" w:hAnsi="Arial" w:cs="Arial"/>
          <w:sz w:val="24"/>
          <w:szCs w:val="24"/>
        </w:rPr>
      </w:pPr>
    </w:p>
    <w:p w14:paraId="4AD87F79" w14:textId="77777777" w:rsidR="007F348B" w:rsidRPr="008B6CCC" w:rsidRDefault="007F348B" w:rsidP="007F348B">
      <w:pPr>
        <w:pStyle w:val="ListParagraph"/>
        <w:spacing w:after="0"/>
        <w:ind w:left="1080"/>
        <w:rPr>
          <w:rFonts w:ascii="Arial" w:hAnsi="Arial" w:cs="Arial"/>
          <w:sz w:val="24"/>
          <w:szCs w:val="24"/>
        </w:rPr>
      </w:pPr>
      <w:r w:rsidRPr="008B6CCC">
        <w:rPr>
          <w:rFonts w:ascii="Arial" w:hAnsi="Arial" w:cs="Arial"/>
          <w:b/>
          <w:bCs/>
          <w:sz w:val="24"/>
          <w:szCs w:val="24"/>
        </w:rPr>
        <w:t>Academic Warning</w:t>
      </w:r>
      <w:r w:rsidRPr="008B6CCC">
        <w:rPr>
          <w:rFonts w:ascii="Arial" w:hAnsi="Arial" w:cs="Arial"/>
          <w:sz w:val="24"/>
          <w:szCs w:val="24"/>
        </w:rPr>
        <w:t xml:space="preserve"> – is a designation indicating that a student has failed to maintain a cumulative grade point average (GPA) of 2.0. The term for Academic Warning may not exceed one semester (fall, spring, or summer). </w:t>
      </w:r>
    </w:p>
    <w:p w14:paraId="76F0ED2C" w14:textId="71B454B2" w:rsidR="007F348B" w:rsidRPr="008B6CCC" w:rsidRDefault="007F348B" w:rsidP="007F348B">
      <w:pPr>
        <w:spacing w:after="0"/>
        <w:rPr>
          <w:rFonts w:ascii="Arial" w:hAnsi="Arial" w:cs="Arial"/>
          <w:sz w:val="24"/>
          <w:szCs w:val="24"/>
        </w:rPr>
      </w:pPr>
    </w:p>
    <w:p w14:paraId="20488E9E" w14:textId="2F18EF2D" w:rsidR="00802103" w:rsidRDefault="007F348B" w:rsidP="007F348B">
      <w:pPr>
        <w:pStyle w:val="ListParagraph"/>
        <w:spacing w:after="0"/>
        <w:ind w:left="1080"/>
        <w:rPr>
          <w:rFonts w:ascii="Arial" w:hAnsi="Arial" w:cs="Arial"/>
          <w:sz w:val="24"/>
          <w:szCs w:val="24"/>
        </w:rPr>
      </w:pPr>
      <w:r w:rsidRPr="008B6CCC">
        <w:rPr>
          <w:rFonts w:ascii="Arial" w:hAnsi="Arial" w:cs="Arial"/>
          <w:b/>
          <w:bCs/>
          <w:sz w:val="24"/>
          <w:szCs w:val="24"/>
        </w:rPr>
        <w:t>Academic Dismissal</w:t>
      </w:r>
      <w:r w:rsidRPr="008B6CCC">
        <w:rPr>
          <w:rFonts w:ascii="Arial" w:hAnsi="Arial" w:cs="Arial"/>
          <w:sz w:val="24"/>
          <w:szCs w:val="24"/>
        </w:rPr>
        <w:t xml:space="preserve"> – is a designation indicating that a student has failed to return to Good Academic Standing at the end of a term in Academic </w:t>
      </w:r>
      <w:r w:rsidR="004128B3" w:rsidRPr="008B6CCC">
        <w:rPr>
          <w:rFonts w:ascii="Arial" w:hAnsi="Arial" w:cs="Arial"/>
          <w:sz w:val="24"/>
          <w:szCs w:val="24"/>
        </w:rPr>
        <w:t>Warning</w:t>
      </w:r>
      <w:r w:rsidRPr="008B6CCC">
        <w:rPr>
          <w:rFonts w:ascii="Arial" w:hAnsi="Arial" w:cs="Arial"/>
          <w:sz w:val="24"/>
          <w:szCs w:val="24"/>
        </w:rPr>
        <w:t xml:space="preserve"> and/or has achieved failure as designated in section V of this policy.</w:t>
      </w:r>
      <w:r w:rsidRPr="007F348B">
        <w:rPr>
          <w:rFonts w:ascii="Arial" w:hAnsi="Arial" w:cs="Arial"/>
          <w:sz w:val="24"/>
          <w:szCs w:val="24"/>
        </w:rPr>
        <w:t xml:space="preserve">  </w:t>
      </w:r>
    </w:p>
    <w:p w14:paraId="6A9C6B7C" w14:textId="0DD46198" w:rsidR="00EB64BA" w:rsidRDefault="00EB64BA" w:rsidP="007F348B">
      <w:pPr>
        <w:pStyle w:val="ListParagraph"/>
        <w:spacing w:after="0"/>
        <w:ind w:left="1080"/>
        <w:rPr>
          <w:rFonts w:ascii="Arial" w:hAnsi="Arial" w:cs="Arial"/>
          <w:sz w:val="24"/>
          <w:szCs w:val="24"/>
        </w:rPr>
      </w:pPr>
    </w:p>
    <w:p w14:paraId="27B0CD20" w14:textId="00547314" w:rsidR="00EB64BA" w:rsidRPr="00EB64BA" w:rsidRDefault="00EB64BA" w:rsidP="007F348B">
      <w:pPr>
        <w:pStyle w:val="ListParagraph"/>
        <w:spacing w:after="0"/>
        <w:ind w:left="1080"/>
        <w:rPr>
          <w:rFonts w:ascii="Arial" w:hAnsi="Arial" w:cs="Arial"/>
          <w:b/>
          <w:bCs/>
          <w:sz w:val="24"/>
          <w:szCs w:val="24"/>
        </w:rPr>
      </w:pPr>
      <w:r w:rsidRPr="00EB64BA">
        <w:rPr>
          <w:rFonts w:ascii="Arial" w:hAnsi="Arial" w:cs="Arial"/>
          <w:b/>
          <w:bCs/>
          <w:sz w:val="24"/>
          <w:szCs w:val="24"/>
        </w:rPr>
        <w:lastRenderedPageBreak/>
        <w:t xml:space="preserve">Academic Probation </w:t>
      </w:r>
    </w:p>
    <w:p w14:paraId="42CF728C" w14:textId="1202CD7B" w:rsidR="00EB64BA" w:rsidRPr="00EB64BA" w:rsidRDefault="00EB64BA" w:rsidP="007F348B">
      <w:pPr>
        <w:pStyle w:val="ListParagraph"/>
        <w:spacing w:after="0"/>
        <w:ind w:left="1080"/>
        <w:rPr>
          <w:rFonts w:ascii="Arial" w:hAnsi="Arial" w:cs="Arial"/>
          <w:sz w:val="24"/>
          <w:szCs w:val="24"/>
        </w:rPr>
      </w:pPr>
      <w:r w:rsidRPr="00EB64BA">
        <w:rPr>
          <w:rFonts w:ascii="Arial" w:hAnsi="Arial" w:cs="Arial"/>
          <w:sz w:val="24"/>
          <w:szCs w:val="24"/>
        </w:rPr>
        <w:t>Academic Probation – is a designation indicating that a student has failed to return to Good Academic Standing at the end of a period of Academic Warning. The term for Academic Probation may not exceed one semester</w:t>
      </w:r>
      <w:r w:rsidR="001773F8">
        <w:rPr>
          <w:rFonts w:ascii="Arial" w:hAnsi="Arial" w:cs="Arial"/>
          <w:sz w:val="24"/>
          <w:szCs w:val="24"/>
        </w:rPr>
        <w:t xml:space="preserve">, </w:t>
      </w:r>
      <w:r w:rsidRPr="00EB64BA">
        <w:rPr>
          <w:rFonts w:ascii="Arial" w:hAnsi="Arial" w:cs="Arial"/>
          <w:sz w:val="24"/>
          <w:szCs w:val="24"/>
        </w:rPr>
        <w:t>fall, spring, or summer</w:t>
      </w:r>
      <w:r w:rsidR="001773F8">
        <w:rPr>
          <w:rFonts w:ascii="Arial" w:hAnsi="Arial" w:cs="Arial"/>
          <w:sz w:val="24"/>
          <w:szCs w:val="24"/>
        </w:rPr>
        <w:t>.</w:t>
      </w:r>
    </w:p>
    <w:p w14:paraId="7E4FDD47" w14:textId="77777777" w:rsidR="007F348B" w:rsidRDefault="007F348B" w:rsidP="007F348B">
      <w:pPr>
        <w:pStyle w:val="ListParagraph"/>
        <w:spacing w:after="0"/>
        <w:ind w:left="1080"/>
        <w:rPr>
          <w:rFonts w:ascii="Arial" w:hAnsi="Arial" w:cs="Arial"/>
          <w:sz w:val="24"/>
          <w:szCs w:val="24"/>
        </w:rPr>
      </w:pPr>
    </w:p>
    <w:p w14:paraId="0596F959" w14:textId="7B8B36A4" w:rsidR="00FF38E3" w:rsidRDefault="00FF38E3" w:rsidP="00FF38E3">
      <w:pPr>
        <w:pStyle w:val="ListParagraph"/>
        <w:numPr>
          <w:ilvl w:val="0"/>
          <w:numId w:val="1"/>
        </w:numPr>
        <w:spacing w:after="0"/>
        <w:rPr>
          <w:rFonts w:ascii="Arial" w:hAnsi="Arial" w:cs="Arial"/>
          <w:sz w:val="24"/>
          <w:szCs w:val="24"/>
        </w:rPr>
      </w:pPr>
      <w:r>
        <w:rPr>
          <w:rFonts w:ascii="Arial" w:hAnsi="Arial" w:cs="Arial"/>
          <w:sz w:val="24"/>
          <w:szCs w:val="24"/>
        </w:rPr>
        <w:t>Policy Details</w:t>
      </w:r>
    </w:p>
    <w:p w14:paraId="0BE86E7A" w14:textId="0041456A" w:rsidR="00802103" w:rsidRDefault="00802103" w:rsidP="00802103">
      <w:pPr>
        <w:pStyle w:val="ListParagraph"/>
        <w:spacing w:after="0"/>
        <w:ind w:left="1080"/>
        <w:rPr>
          <w:rFonts w:ascii="Arial" w:hAnsi="Arial" w:cs="Arial"/>
          <w:sz w:val="24"/>
          <w:szCs w:val="24"/>
        </w:rPr>
      </w:pPr>
    </w:p>
    <w:p w14:paraId="3DB1BB51" w14:textId="5023928D" w:rsidR="007F348B" w:rsidRPr="007F348B" w:rsidRDefault="007F348B" w:rsidP="007F348B">
      <w:pPr>
        <w:pStyle w:val="ListParagraph"/>
        <w:spacing w:after="0"/>
        <w:ind w:left="1080"/>
        <w:rPr>
          <w:rFonts w:ascii="Arial" w:hAnsi="Arial" w:cs="Arial"/>
          <w:sz w:val="24"/>
          <w:szCs w:val="24"/>
        </w:rPr>
      </w:pPr>
      <w:r w:rsidRPr="007F348B">
        <w:rPr>
          <w:rFonts w:ascii="Arial" w:hAnsi="Arial" w:cs="Arial"/>
          <w:sz w:val="24"/>
          <w:szCs w:val="24"/>
        </w:rPr>
        <w:t xml:space="preserve">A student who is enrolled at </w:t>
      </w:r>
      <w:r w:rsidR="004128B3">
        <w:rPr>
          <w:rFonts w:ascii="Arial" w:hAnsi="Arial" w:cs="Arial"/>
          <w:sz w:val="24"/>
          <w:szCs w:val="24"/>
        </w:rPr>
        <w:t>SCHS</w:t>
      </w:r>
      <w:r w:rsidRPr="007F348B">
        <w:rPr>
          <w:rFonts w:ascii="Arial" w:hAnsi="Arial" w:cs="Arial"/>
          <w:sz w:val="24"/>
          <w:szCs w:val="24"/>
        </w:rPr>
        <w:t xml:space="preserve"> is in Good Academic Standing until such time the student is placed on academic warning</w:t>
      </w:r>
      <w:r w:rsidR="004128B3">
        <w:rPr>
          <w:rFonts w:ascii="Arial" w:hAnsi="Arial" w:cs="Arial"/>
          <w:sz w:val="24"/>
          <w:szCs w:val="24"/>
        </w:rPr>
        <w:t xml:space="preserve"> </w:t>
      </w:r>
      <w:r w:rsidRPr="007F348B">
        <w:rPr>
          <w:rFonts w:ascii="Arial" w:hAnsi="Arial" w:cs="Arial"/>
          <w:sz w:val="24"/>
          <w:szCs w:val="24"/>
        </w:rPr>
        <w:t xml:space="preserve">or dismissal.  </w:t>
      </w:r>
    </w:p>
    <w:p w14:paraId="06F37B50" w14:textId="2D55DC9D" w:rsidR="007F348B" w:rsidRPr="007F348B" w:rsidRDefault="007F348B" w:rsidP="007F348B">
      <w:pPr>
        <w:spacing w:after="0"/>
        <w:rPr>
          <w:rFonts w:ascii="Arial" w:hAnsi="Arial" w:cs="Arial"/>
          <w:sz w:val="24"/>
          <w:szCs w:val="24"/>
        </w:rPr>
      </w:pPr>
    </w:p>
    <w:p w14:paraId="178A95F3" w14:textId="6402AC4A" w:rsidR="007F348B" w:rsidRPr="008B6CCC" w:rsidRDefault="007F348B" w:rsidP="007F348B">
      <w:pPr>
        <w:pStyle w:val="ListParagraph"/>
        <w:spacing w:after="0"/>
        <w:ind w:left="1080"/>
        <w:rPr>
          <w:rFonts w:ascii="Arial" w:hAnsi="Arial" w:cs="Arial"/>
          <w:b/>
          <w:bCs/>
          <w:sz w:val="24"/>
          <w:szCs w:val="24"/>
        </w:rPr>
      </w:pPr>
      <w:r w:rsidRPr="008B6CCC">
        <w:rPr>
          <w:rFonts w:ascii="Arial" w:hAnsi="Arial" w:cs="Arial"/>
          <w:b/>
          <w:bCs/>
          <w:sz w:val="24"/>
          <w:szCs w:val="24"/>
        </w:rPr>
        <w:t xml:space="preserve">Academic Warning </w:t>
      </w:r>
    </w:p>
    <w:p w14:paraId="4C15C327" w14:textId="65DF7769" w:rsidR="007F348B" w:rsidRDefault="007F348B" w:rsidP="004128B3">
      <w:pPr>
        <w:pStyle w:val="ListParagraph"/>
        <w:spacing w:after="0"/>
        <w:ind w:left="1080"/>
        <w:rPr>
          <w:rFonts w:ascii="Arial" w:hAnsi="Arial" w:cs="Arial"/>
          <w:sz w:val="24"/>
          <w:szCs w:val="24"/>
        </w:rPr>
      </w:pPr>
      <w:r w:rsidRPr="008B6CCC">
        <w:rPr>
          <w:rFonts w:ascii="Arial" w:hAnsi="Arial" w:cs="Arial"/>
          <w:sz w:val="24"/>
          <w:szCs w:val="24"/>
        </w:rPr>
        <w:t xml:space="preserve">A student is placed on Academic Warning when the student’s cumulative GPA falls below 2.0 at the conclusion of any semester of attendance – fall, spring, or summer. Notification of warning appears on the student’s academic record. A student remains on Academic Warning for one semester of attendance, at the end of which time the student must obtain a minimum cumulative GPA of 2.0. Failure to achieve this GPA results in </w:t>
      </w:r>
      <w:r w:rsidR="00057975">
        <w:rPr>
          <w:rFonts w:ascii="Arial" w:hAnsi="Arial" w:cs="Arial"/>
          <w:sz w:val="24"/>
          <w:szCs w:val="24"/>
        </w:rPr>
        <w:t xml:space="preserve">the student being placed on </w:t>
      </w:r>
      <w:r w:rsidRPr="008B6CCC">
        <w:rPr>
          <w:rFonts w:ascii="Arial" w:hAnsi="Arial" w:cs="Arial"/>
          <w:sz w:val="24"/>
          <w:szCs w:val="24"/>
        </w:rPr>
        <w:t xml:space="preserve">Academic </w:t>
      </w:r>
      <w:r w:rsidR="00057975">
        <w:rPr>
          <w:rFonts w:ascii="Arial" w:hAnsi="Arial" w:cs="Arial"/>
          <w:sz w:val="24"/>
          <w:szCs w:val="24"/>
        </w:rPr>
        <w:t>Probation</w:t>
      </w:r>
      <w:r w:rsidRPr="008B6CCC">
        <w:rPr>
          <w:rFonts w:ascii="Arial" w:hAnsi="Arial" w:cs="Arial"/>
          <w:sz w:val="24"/>
          <w:szCs w:val="24"/>
        </w:rPr>
        <w:t xml:space="preserve">. </w:t>
      </w:r>
    </w:p>
    <w:p w14:paraId="2A5ACFE4" w14:textId="78E630B2" w:rsidR="00030B6D" w:rsidRDefault="00030B6D" w:rsidP="004128B3">
      <w:pPr>
        <w:pStyle w:val="ListParagraph"/>
        <w:spacing w:after="0"/>
        <w:ind w:left="1080"/>
        <w:rPr>
          <w:rFonts w:ascii="Arial" w:hAnsi="Arial" w:cs="Arial"/>
          <w:sz w:val="24"/>
          <w:szCs w:val="24"/>
        </w:rPr>
      </w:pPr>
    </w:p>
    <w:p w14:paraId="31E718D2" w14:textId="68161361" w:rsidR="00030B6D" w:rsidRDefault="00030B6D" w:rsidP="004128B3">
      <w:pPr>
        <w:pStyle w:val="ListParagraph"/>
        <w:spacing w:after="0"/>
        <w:ind w:left="1080"/>
        <w:rPr>
          <w:rFonts w:ascii="Arial" w:hAnsi="Arial" w:cs="Arial"/>
          <w:b/>
          <w:bCs/>
          <w:sz w:val="24"/>
          <w:szCs w:val="24"/>
        </w:rPr>
      </w:pPr>
      <w:r w:rsidRPr="00030B6D">
        <w:rPr>
          <w:rFonts w:ascii="Arial" w:hAnsi="Arial" w:cs="Arial"/>
          <w:b/>
          <w:bCs/>
          <w:sz w:val="24"/>
          <w:szCs w:val="24"/>
        </w:rPr>
        <w:t xml:space="preserve">Academic Probation </w:t>
      </w:r>
    </w:p>
    <w:p w14:paraId="31F26128" w14:textId="7141A612" w:rsidR="00030B6D" w:rsidRPr="006748E8" w:rsidRDefault="006748E8" w:rsidP="004128B3">
      <w:pPr>
        <w:pStyle w:val="ListParagraph"/>
        <w:spacing w:after="0"/>
        <w:ind w:left="1080"/>
        <w:rPr>
          <w:rFonts w:ascii="Arial" w:hAnsi="Arial" w:cs="Arial"/>
          <w:b/>
          <w:bCs/>
          <w:sz w:val="24"/>
          <w:szCs w:val="24"/>
        </w:rPr>
      </w:pPr>
      <w:r w:rsidRPr="006748E8">
        <w:rPr>
          <w:rFonts w:ascii="Arial" w:hAnsi="Arial" w:cs="Arial"/>
          <w:sz w:val="24"/>
          <w:szCs w:val="24"/>
        </w:rPr>
        <w:t>A student is placed on Academic Probation when the student’s cumulative GPA falls below 2.0 for two successive semesters of attendance, including the summer semester. Notification of probation appears on the student’s academic record. A student who achieves a minimum cumulative GPA of 2.0 is removed from Academic Probation. Failure to achieve a 2.0 cumulative GPA while on probation results in Academic Dismissal.</w:t>
      </w:r>
    </w:p>
    <w:p w14:paraId="1C65D94A" w14:textId="77777777" w:rsidR="004128B3" w:rsidRPr="008B6CCC" w:rsidRDefault="004128B3" w:rsidP="004128B3">
      <w:pPr>
        <w:pStyle w:val="ListParagraph"/>
        <w:spacing w:after="0"/>
        <w:ind w:left="1080"/>
        <w:rPr>
          <w:rFonts w:ascii="Arial" w:hAnsi="Arial" w:cs="Arial"/>
          <w:sz w:val="24"/>
          <w:szCs w:val="24"/>
        </w:rPr>
      </w:pPr>
    </w:p>
    <w:p w14:paraId="038195B2" w14:textId="1B96BF94" w:rsidR="007F348B" w:rsidRPr="008B6CCC" w:rsidRDefault="007F348B" w:rsidP="007F348B">
      <w:pPr>
        <w:pStyle w:val="ListParagraph"/>
        <w:spacing w:after="0"/>
        <w:ind w:left="1080"/>
        <w:rPr>
          <w:rFonts w:ascii="Arial" w:hAnsi="Arial" w:cs="Arial"/>
          <w:b/>
          <w:bCs/>
          <w:sz w:val="24"/>
          <w:szCs w:val="24"/>
        </w:rPr>
      </w:pPr>
      <w:r w:rsidRPr="008B6CCC">
        <w:rPr>
          <w:rFonts w:ascii="Arial" w:hAnsi="Arial" w:cs="Arial"/>
          <w:b/>
          <w:bCs/>
          <w:sz w:val="24"/>
          <w:szCs w:val="24"/>
        </w:rPr>
        <w:t xml:space="preserve">Academic Dismissal </w:t>
      </w:r>
    </w:p>
    <w:p w14:paraId="02F5ED62" w14:textId="5358FE76" w:rsidR="007F348B" w:rsidRPr="008B6CCC" w:rsidRDefault="007F348B" w:rsidP="007F348B">
      <w:pPr>
        <w:pStyle w:val="ListParagraph"/>
        <w:spacing w:after="0"/>
        <w:ind w:left="1080"/>
        <w:rPr>
          <w:rFonts w:ascii="Arial" w:hAnsi="Arial" w:cs="Arial"/>
          <w:sz w:val="24"/>
          <w:szCs w:val="24"/>
        </w:rPr>
      </w:pPr>
      <w:r w:rsidRPr="008B6CCC">
        <w:rPr>
          <w:rFonts w:ascii="Arial" w:hAnsi="Arial" w:cs="Arial"/>
          <w:sz w:val="24"/>
          <w:szCs w:val="24"/>
        </w:rPr>
        <w:t xml:space="preserve">A student is academically dismissed from the College for </w:t>
      </w:r>
      <w:r w:rsidR="00616C8E" w:rsidRPr="008B6CCC">
        <w:rPr>
          <w:rFonts w:ascii="Arial" w:hAnsi="Arial" w:cs="Arial"/>
          <w:sz w:val="24"/>
          <w:szCs w:val="24"/>
        </w:rPr>
        <w:t xml:space="preserve">any one </w:t>
      </w:r>
      <w:r w:rsidRPr="008B6CCC">
        <w:rPr>
          <w:rFonts w:ascii="Arial" w:hAnsi="Arial" w:cs="Arial"/>
          <w:sz w:val="24"/>
          <w:szCs w:val="24"/>
        </w:rPr>
        <w:t xml:space="preserve">the following reasons: </w:t>
      </w:r>
    </w:p>
    <w:p w14:paraId="60E1393C" w14:textId="0BD18509" w:rsidR="007F348B" w:rsidRPr="008B6CCC" w:rsidRDefault="007F348B" w:rsidP="007F348B">
      <w:pPr>
        <w:pStyle w:val="ListParagraph"/>
        <w:numPr>
          <w:ilvl w:val="0"/>
          <w:numId w:val="3"/>
        </w:numPr>
        <w:spacing w:after="0"/>
        <w:rPr>
          <w:rFonts w:ascii="Arial" w:hAnsi="Arial" w:cs="Arial"/>
          <w:sz w:val="24"/>
          <w:szCs w:val="24"/>
        </w:rPr>
      </w:pPr>
      <w:r w:rsidRPr="008B6CCC">
        <w:rPr>
          <w:rFonts w:ascii="Arial" w:hAnsi="Arial" w:cs="Arial"/>
          <w:sz w:val="24"/>
          <w:szCs w:val="24"/>
        </w:rPr>
        <w:t xml:space="preserve">Failure to achieve a 2.0 cumulative GPA while on Academic </w:t>
      </w:r>
      <w:r w:rsidR="004128B3" w:rsidRPr="008B6CCC">
        <w:rPr>
          <w:rFonts w:ascii="Arial" w:hAnsi="Arial" w:cs="Arial"/>
          <w:sz w:val="24"/>
          <w:szCs w:val="24"/>
        </w:rPr>
        <w:t>Warning</w:t>
      </w:r>
      <w:r w:rsidRPr="008B6CCC">
        <w:rPr>
          <w:rFonts w:ascii="Arial" w:hAnsi="Arial" w:cs="Arial"/>
          <w:sz w:val="24"/>
          <w:szCs w:val="24"/>
        </w:rPr>
        <w:t>.</w:t>
      </w:r>
    </w:p>
    <w:p w14:paraId="553F4E32" w14:textId="0404A497" w:rsidR="007F348B" w:rsidRPr="008B6CCC" w:rsidRDefault="00833135" w:rsidP="007F348B">
      <w:pPr>
        <w:pStyle w:val="ListParagraph"/>
        <w:numPr>
          <w:ilvl w:val="0"/>
          <w:numId w:val="3"/>
        </w:numPr>
        <w:spacing w:after="0"/>
        <w:rPr>
          <w:rFonts w:ascii="Arial" w:hAnsi="Arial" w:cs="Arial"/>
          <w:sz w:val="24"/>
          <w:szCs w:val="24"/>
        </w:rPr>
      </w:pPr>
      <w:r w:rsidRPr="008B6CCC">
        <w:rPr>
          <w:rFonts w:ascii="Arial" w:hAnsi="Arial" w:cs="Arial"/>
          <w:sz w:val="24"/>
          <w:szCs w:val="24"/>
        </w:rPr>
        <w:t>Any t</w:t>
      </w:r>
      <w:r w:rsidR="007F348B" w:rsidRPr="008B6CCC">
        <w:rPr>
          <w:rFonts w:ascii="Arial" w:hAnsi="Arial" w:cs="Arial"/>
          <w:sz w:val="24"/>
          <w:szCs w:val="24"/>
        </w:rPr>
        <w:t xml:space="preserve">wo course failures (grade D, F). </w:t>
      </w:r>
    </w:p>
    <w:p w14:paraId="391CC894" w14:textId="6EFDDF4E" w:rsidR="007F348B" w:rsidRPr="008B6CCC" w:rsidRDefault="00833135" w:rsidP="007F348B">
      <w:pPr>
        <w:pStyle w:val="ListParagraph"/>
        <w:numPr>
          <w:ilvl w:val="0"/>
          <w:numId w:val="3"/>
        </w:numPr>
        <w:spacing w:after="0"/>
        <w:rPr>
          <w:rFonts w:ascii="Arial" w:hAnsi="Arial" w:cs="Arial"/>
          <w:sz w:val="24"/>
          <w:szCs w:val="24"/>
        </w:rPr>
      </w:pPr>
      <w:r w:rsidRPr="008B6CCC">
        <w:rPr>
          <w:rFonts w:ascii="Arial" w:hAnsi="Arial" w:cs="Arial"/>
          <w:sz w:val="24"/>
          <w:szCs w:val="24"/>
        </w:rPr>
        <w:t>Any two course w</w:t>
      </w:r>
      <w:r w:rsidR="007F348B" w:rsidRPr="008B6CCC">
        <w:rPr>
          <w:rFonts w:ascii="Arial" w:hAnsi="Arial" w:cs="Arial"/>
          <w:sz w:val="24"/>
          <w:szCs w:val="24"/>
        </w:rPr>
        <w:t>ithdraw</w:t>
      </w:r>
      <w:r w:rsidRPr="008B6CCC">
        <w:rPr>
          <w:rFonts w:ascii="Arial" w:hAnsi="Arial" w:cs="Arial"/>
          <w:sz w:val="24"/>
          <w:szCs w:val="24"/>
        </w:rPr>
        <w:t>als</w:t>
      </w:r>
      <w:r w:rsidR="007F348B" w:rsidRPr="008B6CCC">
        <w:rPr>
          <w:rFonts w:ascii="Arial" w:hAnsi="Arial" w:cs="Arial"/>
          <w:sz w:val="24"/>
          <w:szCs w:val="24"/>
        </w:rPr>
        <w:t xml:space="preserve"> (grade W)</w:t>
      </w:r>
      <w:r w:rsidRPr="008B6CCC">
        <w:rPr>
          <w:rFonts w:ascii="Arial" w:hAnsi="Arial" w:cs="Arial"/>
          <w:sz w:val="24"/>
          <w:szCs w:val="24"/>
        </w:rPr>
        <w:t>.</w:t>
      </w:r>
    </w:p>
    <w:p w14:paraId="1C6CA6BA" w14:textId="3EFA8E9E" w:rsidR="008B6CCC" w:rsidRPr="008B6CCC" w:rsidRDefault="008B6CCC" w:rsidP="008B6CCC">
      <w:pPr>
        <w:pStyle w:val="ListParagraph"/>
        <w:numPr>
          <w:ilvl w:val="1"/>
          <w:numId w:val="3"/>
        </w:numPr>
        <w:spacing w:after="0"/>
        <w:rPr>
          <w:rFonts w:ascii="Arial" w:hAnsi="Arial" w:cs="Arial"/>
          <w:sz w:val="24"/>
          <w:szCs w:val="24"/>
        </w:rPr>
      </w:pPr>
      <w:r w:rsidRPr="008B6CCC">
        <w:rPr>
          <w:rFonts w:ascii="Arial" w:hAnsi="Arial" w:cs="Arial"/>
          <w:sz w:val="24"/>
          <w:szCs w:val="24"/>
        </w:rPr>
        <w:t>Imaging Programs: Withdrawing from all courses within a semester will be counted as one withdrawal on student academic record</w:t>
      </w:r>
    </w:p>
    <w:p w14:paraId="2D2C9C43" w14:textId="6522BEB2" w:rsidR="00833135" w:rsidRPr="008B6CCC" w:rsidRDefault="00833135" w:rsidP="007F348B">
      <w:pPr>
        <w:pStyle w:val="ListParagraph"/>
        <w:numPr>
          <w:ilvl w:val="0"/>
          <w:numId w:val="3"/>
        </w:numPr>
        <w:spacing w:after="0"/>
        <w:rPr>
          <w:rFonts w:ascii="Arial" w:hAnsi="Arial" w:cs="Arial"/>
          <w:sz w:val="24"/>
          <w:szCs w:val="24"/>
        </w:rPr>
      </w:pPr>
      <w:r w:rsidRPr="008B6CCC">
        <w:rPr>
          <w:rFonts w:ascii="Arial" w:hAnsi="Arial" w:cs="Arial"/>
          <w:sz w:val="24"/>
          <w:szCs w:val="24"/>
        </w:rPr>
        <w:lastRenderedPageBreak/>
        <w:t xml:space="preserve">Any one course failure and any one course withdrawal. </w:t>
      </w:r>
    </w:p>
    <w:p w14:paraId="782847CE" w14:textId="3FF30CB9" w:rsidR="007F348B" w:rsidRPr="008B6CCC" w:rsidRDefault="007F348B" w:rsidP="007F348B">
      <w:pPr>
        <w:pStyle w:val="ListParagraph"/>
        <w:numPr>
          <w:ilvl w:val="0"/>
          <w:numId w:val="3"/>
        </w:numPr>
        <w:spacing w:after="0"/>
        <w:rPr>
          <w:rFonts w:ascii="Arial" w:hAnsi="Arial" w:cs="Arial"/>
          <w:sz w:val="24"/>
          <w:szCs w:val="24"/>
        </w:rPr>
      </w:pPr>
      <w:r w:rsidRPr="008B6CCC">
        <w:rPr>
          <w:rFonts w:ascii="Arial" w:hAnsi="Arial" w:cs="Arial"/>
          <w:sz w:val="24"/>
          <w:szCs w:val="24"/>
        </w:rPr>
        <w:t xml:space="preserve">Failure to complete the enrolled program within the timeframes specified in this policy. </w:t>
      </w:r>
    </w:p>
    <w:p w14:paraId="6D9F48FB" w14:textId="77777777" w:rsidR="008B6CCC" w:rsidRPr="008B6CCC" w:rsidRDefault="008B6CCC" w:rsidP="008B6CCC">
      <w:pPr>
        <w:spacing w:after="0"/>
        <w:rPr>
          <w:rFonts w:ascii="Arial" w:hAnsi="Arial" w:cs="Arial"/>
          <w:sz w:val="24"/>
          <w:szCs w:val="24"/>
        </w:rPr>
      </w:pPr>
    </w:p>
    <w:p w14:paraId="68A85073" w14:textId="629E65B8" w:rsidR="00AF7717" w:rsidRPr="00AF7717" w:rsidRDefault="007F348B" w:rsidP="00AF7717">
      <w:pPr>
        <w:pStyle w:val="ListParagraph"/>
        <w:spacing w:after="0"/>
        <w:ind w:left="1080"/>
        <w:rPr>
          <w:rFonts w:ascii="Arial" w:hAnsi="Arial" w:cs="Arial"/>
          <w:sz w:val="24"/>
          <w:szCs w:val="24"/>
        </w:rPr>
      </w:pPr>
      <w:r w:rsidRPr="007F348B">
        <w:rPr>
          <w:rFonts w:ascii="Arial" w:hAnsi="Arial" w:cs="Arial"/>
          <w:sz w:val="24"/>
          <w:szCs w:val="24"/>
        </w:rPr>
        <w:t>A student who is academically dismissed is not eligible for readmission to the program (ADM 3.11 College Admissions/Readmissions)</w:t>
      </w:r>
      <w:r w:rsidR="00AF7717">
        <w:rPr>
          <w:rFonts w:ascii="Arial" w:hAnsi="Arial" w:cs="Arial"/>
          <w:sz w:val="24"/>
          <w:szCs w:val="24"/>
        </w:rPr>
        <w:t xml:space="preserve"> and must submit all</w:t>
      </w:r>
      <w:r w:rsidR="00AF7717" w:rsidRPr="00AF7717">
        <w:rPr>
          <w:rFonts w:ascii="Arial" w:hAnsi="Arial" w:cs="Arial"/>
          <w:sz w:val="24"/>
          <w:szCs w:val="24"/>
        </w:rPr>
        <w:t xml:space="preserve"> </w:t>
      </w:r>
      <w:r w:rsidR="00AF7717">
        <w:rPr>
          <w:rFonts w:ascii="Arial" w:hAnsi="Arial" w:cs="Arial"/>
          <w:sz w:val="24"/>
          <w:szCs w:val="24"/>
        </w:rPr>
        <w:t>c</w:t>
      </w:r>
      <w:r w:rsidR="00AF7717" w:rsidRPr="00AF7717">
        <w:rPr>
          <w:rFonts w:ascii="Arial" w:hAnsi="Arial" w:cs="Arial"/>
          <w:sz w:val="24"/>
          <w:szCs w:val="24"/>
        </w:rPr>
        <w:t>ollege and clinical affiliate student issued identification badges and access card</w:t>
      </w:r>
      <w:r w:rsidR="00AF7717">
        <w:rPr>
          <w:rFonts w:ascii="Arial" w:hAnsi="Arial" w:cs="Arial"/>
          <w:sz w:val="24"/>
          <w:szCs w:val="24"/>
        </w:rPr>
        <w:t>s.</w:t>
      </w:r>
    </w:p>
    <w:p w14:paraId="770BD38D" w14:textId="75311CB5" w:rsidR="007F348B" w:rsidRPr="007F348B" w:rsidRDefault="007F348B" w:rsidP="007F348B">
      <w:pPr>
        <w:spacing w:after="0"/>
        <w:rPr>
          <w:rFonts w:ascii="Arial" w:hAnsi="Arial" w:cs="Arial"/>
          <w:sz w:val="24"/>
          <w:szCs w:val="24"/>
        </w:rPr>
      </w:pPr>
    </w:p>
    <w:p w14:paraId="00A77B93" w14:textId="148B9AE5" w:rsidR="00833135" w:rsidRPr="00F535AF" w:rsidRDefault="007F348B" w:rsidP="00833135">
      <w:pPr>
        <w:pStyle w:val="ListParagraph"/>
        <w:spacing w:after="0"/>
        <w:ind w:left="1080"/>
        <w:rPr>
          <w:rFonts w:ascii="Arial" w:hAnsi="Arial" w:cs="Arial"/>
          <w:b/>
          <w:bCs/>
          <w:sz w:val="24"/>
          <w:szCs w:val="24"/>
        </w:rPr>
      </w:pPr>
      <w:r w:rsidRPr="00F535AF">
        <w:rPr>
          <w:rFonts w:ascii="Arial" w:hAnsi="Arial" w:cs="Arial"/>
          <w:b/>
          <w:bCs/>
          <w:sz w:val="24"/>
          <w:szCs w:val="24"/>
        </w:rPr>
        <w:t>Maximum Time Frame</w:t>
      </w:r>
    </w:p>
    <w:p w14:paraId="4AC200DB" w14:textId="4EE8867C" w:rsidR="00833135" w:rsidRPr="00F535AF" w:rsidRDefault="00833135" w:rsidP="00833135">
      <w:pPr>
        <w:pStyle w:val="ListParagraph"/>
        <w:spacing w:after="0"/>
        <w:ind w:left="1080"/>
        <w:rPr>
          <w:rFonts w:ascii="Arial" w:hAnsi="Arial" w:cs="Arial"/>
          <w:sz w:val="24"/>
          <w:szCs w:val="24"/>
          <w:u w:val="single"/>
        </w:rPr>
      </w:pPr>
      <w:r w:rsidRPr="00F535AF">
        <w:rPr>
          <w:rFonts w:ascii="Arial" w:hAnsi="Arial" w:cs="Arial"/>
          <w:sz w:val="24"/>
          <w:szCs w:val="24"/>
          <w:u w:val="single"/>
        </w:rPr>
        <w:t>Diagnostic Medical Sonography</w:t>
      </w:r>
    </w:p>
    <w:p w14:paraId="77AC72C9" w14:textId="2DDEC06A" w:rsidR="007F348B" w:rsidRPr="00F535AF" w:rsidRDefault="007F348B" w:rsidP="00587A27">
      <w:pPr>
        <w:pStyle w:val="ListParagraph"/>
        <w:spacing w:after="0"/>
        <w:ind w:left="1080"/>
        <w:rPr>
          <w:rFonts w:ascii="Arial" w:hAnsi="Arial" w:cs="Arial"/>
          <w:sz w:val="24"/>
          <w:szCs w:val="24"/>
        </w:rPr>
      </w:pPr>
      <w:bookmarkStart w:id="0" w:name="_Hlk79049180"/>
      <w:r w:rsidRPr="00F535AF">
        <w:rPr>
          <w:rFonts w:ascii="Arial" w:hAnsi="Arial" w:cs="Arial"/>
          <w:sz w:val="24"/>
          <w:szCs w:val="24"/>
        </w:rPr>
        <w:t xml:space="preserve">The normal time to complete the program is 4 semesters upon registration in the first course. Students must complete the academic program within </w:t>
      </w:r>
      <w:r w:rsidR="00D854D5" w:rsidRPr="00F535AF">
        <w:rPr>
          <w:rFonts w:ascii="Arial" w:hAnsi="Arial" w:cs="Arial"/>
          <w:sz w:val="24"/>
          <w:szCs w:val="24"/>
        </w:rPr>
        <w:t>three</w:t>
      </w:r>
      <w:r w:rsidRPr="00F535AF">
        <w:rPr>
          <w:rFonts w:ascii="Arial" w:hAnsi="Arial" w:cs="Arial"/>
          <w:sz w:val="24"/>
          <w:szCs w:val="24"/>
        </w:rPr>
        <w:t xml:space="preserve"> (</w:t>
      </w:r>
      <w:r w:rsidR="00D854D5" w:rsidRPr="00F535AF">
        <w:rPr>
          <w:rFonts w:ascii="Arial" w:hAnsi="Arial" w:cs="Arial"/>
          <w:sz w:val="24"/>
          <w:szCs w:val="24"/>
        </w:rPr>
        <w:t>3</w:t>
      </w:r>
      <w:r w:rsidRPr="00F535AF">
        <w:rPr>
          <w:rFonts w:ascii="Arial" w:hAnsi="Arial" w:cs="Arial"/>
          <w:sz w:val="24"/>
          <w:szCs w:val="24"/>
        </w:rPr>
        <w:t>) years and no more than 150% of the published program length, as measured in credit hours (maximum time frame). The maximum time frame is 1</w:t>
      </w:r>
      <w:r w:rsidR="00D854D5" w:rsidRPr="00F535AF">
        <w:rPr>
          <w:rFonts w:ascii="Arial" w:hAnsi="Arial" w:cs="Arial"/>
          <w:sz w:val="24"/>
          <w:szCs w:val="24"/>
        </w:rPr>
        <w:t>0</w:t>
      </w:r>
      <w:r w:rsidRPr="00F535AF">
        <w:rPr>
          <w:rFonts w:ascii="Arial" w:hAnsi="Arial" w:cs="Arial"/>
          <w:sz w:val="24"/>
          <w:szCs w:val="24"/>
        </w:rPr>
        <w:t>0 credit hours (</w:t>
      </w:r>
      <w:r w:rsidR="00D854D5" w:rsidRPr="00F535AF">
        <w:rPr>
          <w:rFonts w:ascii="Arial" w:hAnsi="Arial" w:cs="Arial"/>
          <w:sz w:val="24"/>
          <w:szCs w:val="24"/>
        </w:rPr>
        <w:t>67</w:t>
      </w:r>
      <w:r w:rsidRPr="00F535AF">
        <w:rPr>
          <w:rFonts w:ascii="Arial" w:hAnsi="Arial" w:cs="Arial"/>
          <w:sz w:val="24"/>
          <w:szCs w:val="24"/>
        </w:rPr>
        <w:t xml:space="preserve"> credit hours published program length * 150%). </w:t>
      </w:r>
    </w:p>
    <w:bookmarkEnd w:id="0"/>
    <w:p w14:paraId="35537C98" w14:textId="497C19F7" w:rsidR="007F348B" w:rsidRPr="00F535AF" w:rsidRDefault="007F348B" w:rsidP="00587A27">
      <w:pPr>
        <w:pStyle w:val="ListParagraph"/>
        <w:spacing w:after="0"/>
        <w:ind w:left="1080"/>
        <w:rPr>
          <w:rFonts w:ascii="Arial" w:hAnsi="Arial" w:cs="Arial"/>
          <w:sz w:val="24"/>
          <w:szCs w:val="24"/>
        </w:rPr>
      </w:pPr>
    </w:p>
    <w:p w14:paraId="38FCE72E" w14:textId="3D6410FA" w:rsidR="00833135" w:rsidRPr="00F535AF" w:rsidRDefault="00833135" w:rsidP="00587A27">
      <w:pPr>
        <w:pStyle w:val="ListParagraph"/>
        <w:spacing w:after="0"/>
        <w:ind w:left="1080"/>
        <w:rPr>
          <w:rFonts w:ascii="Arial" w:hAnsi="Arial" w:cs="Arial"/>
          <w:sz w:val="24"/>
          <w:szCs w:val="24"/>
          <w:u w:val="single"/>
        </w:rPr>
      </w:pPr>
      <w:r w:rsidRPr="00F535AF">
        <w:rPr>
          <w:rFonts w:ascii="Arial" w:hAnsi="Arial" w:cs="Arial"/>
          <w:sz w:val="24"/>
          <w:szCs w:val="24"/>
          <w:u w:val="single"/>
        </w:rPr>
        <w:t>Nursing</w:t>
      </w:r>
    </w:p>
    <w:p w14:paraId="2D3ECBE4" w14:textId="46718D26" w:rsidR="00833135" w:rsidRPr="00F535AF" w:rsidRDefault="00833135" w:rsidP="00833135">
      <w:pPr>
        <w:pStyle w:val="ListParagraph"/>
        <w:spacing w:after="0"/>
        <w:ind w:left="1080"/>
        <w:rPr>
          <w:rFonts w:ascii="Arial" w:hAnsi="Arial" w:cs="Arial"/>
          <w:sz w:val="24"/>
          <w:szCs w:val="24"/>
        </w:rPr>
      </w:pPr>
      <w:r w:rsidRPr="00F535AF">
        <w:rPr>
          <w:rFonts w:ascii="Arial" w:hAnsi="Arial" w:cs="Arial"/>
          <w:sz w:val="24"/>
          <w:szCs w:val="24"/>
        </w:rPr>
        <w:t xml:space="preserve">The normal time to complete the program is </w:t>
      </w:r>
      <w:r w:rsidR="00D854D5" w:rsidRPr="00F535AF">
        <w:rPr>
          <w:rFonts w:ascii="Arial" w:hAnsi="Arial" w:cs="Arial"/>
          <w:sz w:val="24"/>
          <w:szCs w:val="24"/>
        </w:rPr>
        <w:t>5</w:t>
      </w:r>
      <w:r w:rsidRPr="00F535AF">
        <w:rPr>
          <w:rFonts w:ascii="Arial" w:hAnsi="Arial" w:cs="Arial"/>
          <w:sz w:val="24"/>
          <w:szCs w:val="24"/>
        </w:rPr>
        <w:t xml:space="preserve"> semesters upon registration in the first course. Students must complete the academic program within </w:t>
      </w:r>
      <w:bookmarkStart w:id="1" w:name="_Hlk79561415"/>
      <w:r w:rsidR="00D854D5" w:rsidRPr="00F535AF">
        <w:rPr>
          <w:rFonts w:ascii="Arial" w:hAnsi="Arial" w:cs="Arial"/>
          <w:sz w:val="24"/>
          <w:szCs w:val="24"/>
        </w:rPr>
        <w:t>three- and three-quarter</w:t>
      </w:r>
      <w:r w:rsidRPr="00F535AF">
        <w:rPr>
          <w:rFonts w:ascii="Arial" w:hAnsi="Arial" w:cs="Arial"/>
          <w:sz w:val="24"/>
          <w:szCs w:val="24"/>
        </w:rPr>
        <w:t xml:space="preserve"> (</w:t>
      </w:r>
      <w:r w:rsidR="00D854D5" w:rsidRPr="00F535AF">
        <w:rPr>
          <w:rFonts w:ascii="Arial" w:hAnsi="Arial" w:cs="Arial"/>
          <w:sz w:val="24"/>
          <w:szCs w:val="24"/>
        </w:rPr>
        <w:t>3.75</w:t>
      </w:r>
      <w:r w:rsidRPr="00F535AF">
        <w:rPr>
          <w:rFonts w:ascii="Arial" w:hAnsi="Arial" w:cs="Arial"/>
          <w:sz w:val="24"/>
          <w:szCs w:val="24"/>
        </w:rPr>
        <w:t>)</w:t>
      </w:r>
      <w:bookmarkEnd w:id="1"/>
      <w:r w:rsidRPr="00F535AF">
        <w:rPr>
          <w:rFonts w:ascii="Arial" w:hAnsi="Arial" w:cs="Arial"/>
          <w:sz w:val="24"/>
          <w:szCs w:val="24"/>
        </w:rPr>
        <w:t xml:space="preserve"> years and no more than 150% of the published program length, as measured in credit hours (maximum time frame). The maximum time frame is 1</w:t>
      </w:r>
      <w:r w:rsidR="00D854D5" w:rsidRPr="00F535AF">
        <w:rPr>
          <w:rFonts w:ascii="Arial" w:hAnsi="Arial" w:cs="Arial"/>
          <w:sz w:val="24"/>
          <w:szCs w:val="24"/>
        </w:rPr>
        <w:t>08</w:t>
      </w:r>
      <w:r w:rsidRPr="00F535AF">
        <w:rPr>
          <w:rFonts w:ascii="Arial" w:hAnsi="Arial" w:cs="Arial"/>
          <w:sz w:val="24"/>
          <w:szCs w:val="24"/>
        </w:rPr>
        <w:t xml:space="preserve"> credit hours (</w:t>
      </w:r>
      <w:r w:rsidR="00D854D5" w:rsidRPr="00F535AF">
        <w:rPr>
          <w:rFonts w:ascii="Arial" w:hAnsi="Arial" w:cs="Arial"/>
          <w:sz w:val="24"/>
          <w:szCs w:val="24"/>
        </w:rPr>
        <w:t>72</w:t>
      </w:r>
      <w:r w:rsidRPr="00F535AF">
        <w:rPr>
          <w:rFonts w:ascii="Arial" w:hAnsi="Arial" w:cs="Arial"/>
          <w:sz w:val="24"/>
          <w:szCs w:val="24"/>
        </w:rPr>
        <w:t xml:space="preserve"> credit hours published program length</w:t>
      </w:r>
      <w:r w:rsidR="007440B2">
        <w:rPr>
          <w:rFonts w:ascii="Arial" w:hAnsi="Arial" w:cs="Arial"/>
          <w:sz w:val="24"/>
          <w:szCs w:val="24"/>
        </w:rPr>
        <w:t xml:space="preserve"> </w:t>
      </w:r>
      <w:r w:rsidRPr="00F535AF">
        <w:rPr>
          <w:rFonts w:ascii="Arial" w:hAnsi="Arial" w:cs="Arial"/>
          <w:sz w:val="24"/>
          <w:szCs w:val="24"/>
        </w:rPr>
        <w:t xml:space="preserve">150%). </w:t>
      </w:r>
    </w:p>
    <w:p w14:paraId="42EC0DB4" w14:textId="74D685C8" w:rsidR="00833135" w:rsidRPr="00F535AF" w:rsidRDefault="00833135" w:rsidP="00587A27">
      <w:pPr>
        <w:pStyle w:val="ListParagraph"/>
        <w:spacing w:after="0"/>
        <w:ind w:left="1080"/>
        <w:rPr>
          <w:rFonts w:ascii="Arial" w:hAnsi="Arial" w:cs="Arial"/>
          <w:sz w:val="24"/>
          <w:szCs w:val="24"/>
        </w:rPr>
      </w:pPr>
    </w:p>
    <w:p w14:paraId="64D7503A" w14:textId="1600907B" w:rsidR="00833135" w:rsidRPr="00F535AF" w:rsidRDefault="00833135" w:rsidP="00587A27">
      <w:pPr>
        <w:pStyle w:val="ListParagraph"/>
        <w:spacing w:after="0"/>
        <w:ind w:left="1080"/>
        <w:rPr>
          <w:rFonts w:ascii="Arial" w:hAnsi="Arial" w:cs="Arial"/>
          <w:sz w:val="24"/>
          <w:szCs w:val="24"/>
          <w:u w:val="single"/>
        </w:rPr>
      </w:pPr>
      <w:r w:rsidRPr="00F535AF">
        <w:rPr>
          <w:rFonts w:ascii="Arial" w:hAnsi="Arial" w:cs="Arial"/>
          <w:sz w:val="24"/>
          <w:szCs w:val="24"/>
          <w:u w:val="single"/>
        </w:rPr>
        <w:t>Radiation Sciences</w:t>
      </w:r>
    </w:p>
    <w:p w14:paraId="5D20A7A4" w14:textId="0ADB6790" w:rsidR="00833135" w:rsidRPr="00F535AF" w:rsidRDefault="00833135" w:rsidP="00833135">
      <w:pPr>
        <w:pStyle w:val="ListParagraph"/>
        <w:spacing w:after="0"/>
        <w:ind w:left="1080"/>
        <w:rPr>
          <w:rFonts w:ascii="Arial" w:hAnsi="Arial" w:cs="Arial"/>
          <w:sz w:val="24"/>
          <w:szCs w:val="24"/>
        </w:rPr>
      </w:pPr>
      <w:r w:rsidRPr="00F535AF">
        <w:rPr>
          <w:rFonts w:ascii="Arial" w:hAnsi="Arial" w:cs="Arial"/>
          <w:sz w:val="24"/>
          <w:szCs w:val="24"/>
        </w:rPr>
        <w:t xml:space="preserve">The normal time to complete the program is </w:t>
      </w:r>
      <w:r w:rsidR="00F535AF" w:rsidRPr="00F535AF">
        <w:rPr>
          <w:rFonts w:ascii="Arial" w:hAnsi="Arial" w:cs="Arial"/>
          <w:sz w:val="24"/>
          <w:szCs w:val="24"/>
        </w:rPr>
        <w:t>5</w:t>
      </w:r>
      <w:r w:rsidRPr="00F535AF">
        <w:rPr>
          <w:rFonts w:ascii="Arial" w:hAnsi="Arial" w:cs="Arial"/>
          <w:sz w:val="24"/>
          <w:szCs w:val="24"/>
        </w:rPr>
        <w:t xml:space="preserve"> semesters upon registration in the first </w:t>
      </w:r>
      <w:r w:rsidR="00F535AF" w:rsidRPr="00F535AF">
        <w:rPr>
          <w:rFonts w:ascii="Arial" w:hAnsi="Arial" w:cs="Arial"/>
          <w:sz w:val="24"/>
          <w:szCs w:val="24"/>
        </w:rPr>
        <w:t>course</w:t>
      </w:r>
      <w:r w:rsidRPr="00F535AF">
        <w:rPr>
          <w:rFonts w:ascii="Arial" w:hAnsi="Arial" w:cs="Arial"/>
          <w:sz w:val="24"/>
          <w:szCs w:val="24"/>
        </w:rPr>
        <w:t xml:space="preserve">. Students must complete the academic program within </w:t>
      </w:r>
      <w:r w:rsidR="00F535AF" w:rsidRPr="00F535AF">
        <w:rPr>
          <w:rFonts w:ascii="Arial" w:hAnsi="Arial" w:cs="Arial"/>
          <w:sz w:val="24"/>
          <w:szCs w:val="24"/>
        </w:rPr>
        <w:t>three- and three-quarter (3.75)</w:t>
      </w:r>
      <w:r w:rsidRPr="00F535AF">
        <w:rPr>
          <w:rFonts w:ascii="Arial" w:hAnsi="Arial" w:cs="Arial"/>
          <w:sz w:val="24"/>
          <w:szCs w:val="24"/>
        </w:rPr>
        <w:t xml:space="preserve"> years and no more than 150% of the published program length, as measured in credit hours (maximum time frame). The maximum time frame is 1</w:t>
      </w:r>
      <w:r w:rsidR="00F535AF" w:rsidRPr="00F535AF">
        <w:rPr>
          <w:rFonts w:ascii="Arial" w:hAnsi="Arial" w:cs="Arial"/>
          <w:sz w:val="24"/>
          <w:szCs w:val="24"/>
        </w:rPr>
        <w:t>24</w:t>
      </w:r>
      <w:r w:rsidRPr="00F535AF">
        <w:rPr>
          <w:rFonts w:ascii="Arial" w:hAnsi="Arial" w:cs="Arial"/>
          <w:sz w:val="24"/>
          <w:szCs w:val="24"/>
        </w:rPr>
        <w:t xml:space="preserve"> credit hours (</w:t>
      </w:r>
      <w:r w:rsidR="00F535AF" w:rsidRPr="00F535AF">
        <w:rPr>
          <w:rFonts w:ascii="Arial" w:hAnsi="Arial" w:cs="Arial"/>
          <w:sz w:val="24"/>
          <w:szCs w:val="24"/>
        </w:rPr>
        <w:t>83</w:t>
      </w:r>
      <w:r w:rsidRPr="00F535AF">
        <w:rPr>
          <w:rFonts w:ascii="Arial" w:hAnsi="Arial" w:cs="Arial"/>
          <w:sz w:val="24"/>
          <w:szCs w:val="24"/>
        </w:rPr>
        <w:t xml:space="preserve"> credit hours published program length 150%). </w:t>
      </w:r>
    </w:p>
    <w:p w14:paraId="5E328650" w14:textId="2F258A9A" w:rsidR="007F348B" w:rsidRPr="00587A27" w:rsidRDefault="007F348B" w:rsidP="00587A27">
      <w:pPr>
        <w:spacing w:after="0"/>
        <w:rPr>
          <w:rFonts w:ascii="Arial" w:hAnsi="Arial" w:cs="Arial"/>
          <w:sz w:val="24"/>
          <w:szCs w:val="24"/>
        </w:rPr>
      </w:pPr>
    </w:p>
    <w:p w14:paraId="1E6A2184" w14:textId="1E20B317" w:rsidR="005C579B" w:rsidRDefault="007F348B" w:rsidP="007F348B">
      <w:pPr>
        <w:pStyle w:val="ListParagraph"/>
        <w:spacing w:after="0"/>
        <w:ind w:left="1080"/>
        <w:rPr>
          <w:rFonts w:ascii="Arial" w:hAnsi="Arial" w:cs="Arial"/>
          <w:sz w:val="24"/>
          <w:szCs w:val="24"/>
        </w:rPr>
      </w:pPr>
      <w:r w:rsidRPr="007F348B">
        <w:rPr>
          <w:rFonts w:ascii="Arial" w:hAnsi="Arial" w:cs="Arial"/>
          <w:sz w:val="24"/>
          <w:szCs w:val="24"/>
        </w:rPr>
        <w:t>For information regarding impact of academic progress on eligibility for Title IV Financial Aid, refer to ADM 2.06 Satisfactory Academic Progress.</w:t>
      </w:r>
    </w:p>
    <w:p w14:paraId="67834089" w14:textId="77777777" w:rsidR="007440B2" w:rsidRDefault="007440B2" w:rsidP="007F348B">
      <w:pPr>
        <w:pStyle w:val="ListParagraph"/>
        <w:spacing w:after="0"/>
        <w:ind w:left="1080"/>
        <w:rPr>
          <w:rFonts w:ascii="Arial" w:hAnsi="Arial" w:cs="Arial"/>
          <w:sz w:val="24"/>
          <w:szCs w:val="24"/>
        </w:rPr>
      </w:pPr>
    </w:p>
    <w:p w14:paraId="764F0A1F" w14:textId="77777777" w:rsidR="00587A27" w:rsidRDefault="00587A27" w:rsidP="007F348B">
      <w:pPr>
        <w:pStyle w:val="ListParagraph"/>
        <w:spacing w:after="0"/>
        <w:ind w:left="1080"/>
        <w:rPr>
          <w:rFonts w:ascii="Arial" w:hAnsi="Arial" w:cs="Arial"/>
          <w:sz w:val="24"/>
          <w:szCs w:val="24"/>
        </w:rPr>
      </w:pPr>
    </w:p>
    <w:p w14:paraId="279CCEEE" w14:textId="77777777" w:rsidR="00FF38E3" w:rsidRDefault="00FF38E3" w:rsidP="00FF38E3">
      <w:pPr>
        <w:pStyle w:val="ListParagraph"/>
        <w:numPr>
          <w:ilvl w:val="0"/>
          <w:numId w:val="1"/>
        </w:numPr>
        <w:spacing w:after="0"/>
        <w:rPr>
          <w:rFonts w:ascii="Arial" w:hAnsi="Arial" w:cs="Arial"/>
          <w:sz w:val="24"/>
          <w:szCs w:val="24"/>
        </w:rPr>
      </w:pPr>
      <w:r>
        <w:rPr>
          <w:rFonts w:ascii="Arial" w:hAnsi="Arial" w:cs="Arial"/>
          <w:sz w:val="24"/>
          <w:szCs w:val="24"/>
        </w:rPr>
        <w:lastRenderedPageBreak/>
        <w:t>Attachments</w:t>
      </w:r>
    </w:p>
    <w:p w14:paraId="45BB48FE" w14:textId="77777777" w:rsidR="00802103" w:rsidRDefault="00802103" w:rsidP="00802103">
      <w:pPr>
        <w:pStyle w:val="ListParagraph"/>
        <w:spacing w:after="0"/>
        <w:ind w:left="1080"/>
        <w:rPr>
          <w:rFonts w:ascii="Arial" w:hAnsi="Arial" w:cs="Arial"/>
          <w:sz w:val="24"/>
          <w:szCs w:val="24"/>
        </w:rPr>
      </w:pPr>
    </w:p>
    <w:p w14:paraId="3CEC0B85" w14:textId="314FB70A" w:rsidR="005C579B" w:rsidRDefault="00B61DC6" w:rsidP="00802103">
      <w:pPr>
        <w:pStyle w:val="ListParagraph"/>
        <w:spacing w:after="0"/>
        <w:ind w:left="1080"/>
        <w:rPr>
          <w:rFonts w:ascii="Arial" w:hAnsi="Arial" w:cs="Arial"/>
          <w:sz w:val="24"/>
          <w:szCs w:val="24"/>
        </w:rPr>
      </w:pPr>
      <w:r>
        <w:rPr>
          <w:rFonts w:ascii="Arial" w:hAnsi="Arial" w:cs="Arial"/>
          <w:sz w:val="24"/>
          <w:szCs w:val="24"/>
        </w:rPr>
        <w:t>None</w:t>
      </w:r>
      <w:r w:rsidR="007440B2">
        <w:rPr>
          <w:rFonts w:ascii="Arial" w:hAnsi="Arial" w:cs="Arial"/>
          <w:sz w:val="24"/>
          <w:szCs w:val="24"/>
        </w:rPr>
        <w:t>.</w:t>
      </w:r>
    </w:p>
    <w:p w14:paraId="24A482CB" w14:textId="77777777" w:rsidR="00CB0468" w:rsidRDefault="00CB0468" w:rsidP="00802103">
      <w:pPr>
        <w:pStyle w:val="ListParagraph"/>
        <w:spacing w:after="0"/>
        <w:ind w:left="1080"/>
        <w:rPr>
          <w:rFonts w:ascii="Arial" w:hAnsi="Arial" w:cs="Arial"/>
          <w:sz w:val="24"/>
          <w:szCs w:val="24"/>
        </w:rPr>
      </w:pPr>
    </w:p>
    <w:p w14:paraId="4682BF96" w14:textId="77777777" w:rsidR="00FF38E3" w:rsidRDefault="00FF38E3" w:rsidP="00FF38E3">
      <w:pPr>
        <w:pStyle w:val="ListParagraph"/>
        <w:numPr>
          <w:ilvl w:val="0"/>
          <w:numId w:val="1"/>
        </w:numPr>
        <w:spacing w:after="0"/>
        <w:rPr>
          <w:rFonts w:ascii="Arial" w:hAnsi="Arial" w:cs="Arial"/>
          <w:sz w:val="24"/>
          <w:szCs w:val="24"/>
        </w:rPr>
      </w:pPr>
      <w:r>
        <w:rPr>
          <w:rFonts w:ascii="Arial" w:hAnsi="Arial" w:cs="Arial"/>
          <w:sz w:val="24"/>
          <w:szCs w:val="24"/>
        </w:rPr>
        <w:t>Related Policies</w:t>
      </w:r>
    </w:p>
    <w:p w14:paraId="20FCC844" w14:textId="563A6343" w:rsidR="00802103" w:rsidRDefault="00802103" w:rsidP="00802103">
      <w:pPr>
        <w:pStyle w:val="ListParagraph"/>
        <w:spacing w:after="0"/>
        <w:ind w:left="1080"/>
        <w:rPr>
          <w:rFonts w:ascii="Arial" w:hAnsi="Arial" w:cs="Arial"/>
          <w:sz w:val="24"/>
          <w:szCs w:val="24"/>
        </w:rPr>
      </w:pPr>
    </w:p>
    <w:p w14:paraId="5875147F" w14:textId="29B8E917" w:rsidR="00587A27" w:rsidRPr="00587A27" w:rsidRDefault="00587A27" w:rsidP="00587A27">
      <w:pPr>
        <w:pStyle w:val="ListParagraph"/>
        <w:ind w:left="1080"/>
        <w:rPr>
          <w:rFonts w:ascii="Arial" w:hAnsi="Arial" w:cs="Arial"/>
          <w:sz w:val="24"/>
          <w:szCs w:val="24"/>
        </w:rPr>
      </w:pPr>
      <w:r w:rsidRPr="00587A27">
        <w:rPr>
          <w:rFonts w:ascii="Arial" w:hAnsi="Arial" w:cs="Arial"/>
          <w:sz w:val="24"/>
          <w:szCs w:val="24"/>
        </w:rPr>
        <w:t xml:space="preserve">ACA 1.02 </w:t>
      </w:r>
      <w:r w:rsidR="00833135">
        <w:rPr>
          <w:rFonts w:ascii="Arial" w:hAnsi="Arial" w:cs="Arial"/>
          <w:sz w:val="24"/>
          <w:szCs w:val="24"/>
        </w:rPr>
        <w:t>Core Performance</w:t>
      </w:r>
      <w:r w:rsidRPr="00587A27">
        <w:rPr>
          <w:rFonts w:ascii="Arial" w:hAnsi="Arial" w:cs="Arial"/>
          <w:sz w:val="24"/>
          <w:szCs w:val="24"/>
        </w:rPr>
        <w:t xml:space="preserve"> Standards</w:t>
      </w:r>
    </w:p>
    <w:p w14:paraId="1EA037F6" w14:textId="28897125" w:rsidR="00587A27" w:rsidRPr="00587A27" w:rsidRDefault="00587A27" w:rsidP="00587A27">
      <w:pPr>
        <w:pStyle w:val="ListParagraph"/>
        <w:ind w:left="1080"/>
        <w:rPr>
          <w:rFonts w:ascii="Arial" w:hAnsi="Arial" w:cs="Arial"/>
          <w:sz w:val="24"/>
          <w:szCs w:val="24"/>
        </w:rPr>
      </w:pPr>
      <w:r w:rsidRPr="00587A27">
        <w:rPr>
          <w:rFonts w:ascii="Arial" w:hAnsi="Arial" w:cs="Arial"/>
          <w:sz w:val="24"/>
          <w:szCs w:val="24"/>
        </w:rPr>
        <w:t>ACA 3.01 Pre</w:t>
      </w:r>
      <w:r w:rsidR="00833135">
        <w:rPr>
          <w:rFonts w:ascii="Arial" w:hAnsi="Arial" w:cs="Arial"/>
          <w:sz w:val="24"/>
          <w:szCs w:val="24"/>
        </w:rPr>
        <w:t>-</w:t>
      </w:r>
      <w:r w:rsidRPr="00587A27">
        <w:rPr>
          <w:rFonts w:ascii="Arial" w:hAnsi="Arial" w:cs="Arial"/>
          <w:sz w:val="24"/>
          <w:szCs w:val="24"/>
        </w:rPr>
        <w:t>requisites and Co-requisites </w:t>
      </w:r>
    </w:p>
    <w:p w14:paraId="372535EC" w14:textId="77777777" w:rsidR="00587A27" w:rsidRPr="00587A27" w:rsidRDefault="00587A27" w:rsidP="00587A27">
      <w:pPr>
        <w:pStyle w:val="ListParagraph"/>
        <w:ind w:left="1080"/>
        <w:rPr>
          <w:rFonts w:ascii="Arial" w:hAnsi="Arial" w:cs="Arial"/>
          <w:sz w:val="24"/>
          <w:szCs w:val="24"/>
        </w:rPr>
      </w:pPr>
      <w:r w:rsidRPr="00587A27">
        <w:rPr>
          <w:rFonts w:ascii="Arial" w:hAnsi="Arial" w:cs="Arial"/>
          <w:sz w:val="24"/>
          <w:szCs w:val="24"/>
        </w:rPr>
        <w:t>ACA 3.06 College Grading System </w:t>
      </w:r>
    </w:p>
    <w:p w14:paraId="29927A26" w14:textId="77777777" w:rsidR="00587A27" w:rsidRPr="00587A27" w:rsidRDefault="00587A27" w:rsidP="00587A27">
      <w:pPr>
        <w:pStyle w:val="ListParagraph"/>
        <w:ind w:left="1080"/>
        <w:rPr>
          <w:rFonts w:ascii="Arial" w:hAnsi="Arial" w:cs="Arial"/>
          <w:sz w:val="24"/>
          <w:szCs w:val="24"/>
        </w:rPr>
      </w:pPr>
      <w:r w:rsidRPr="00587A27">
        <w:rPr>
          <w:rFonts w:ascii="Arial" w:hAnsi="Arial" w:cs="Arial"/>
          <w:sz w:val="24"/>
          <w:szCs w:val="24"/>
        </w:rPr>
        <w:t>ADM 2.06 Satisfactory Academic Progress </w:t>
      </w:r>
    </w:p>
    <w:p w14:paraId="7364CE5B" w14:textId="77777777" w:rsidR="00587A27" w:rsidRPr="00587A27" w:rsidRDefault="00587A27" w:rsidP="00587A27">
      <w:pPr>
        <w:pStyle w:val="ListParagraph"/>
        <w:ind w:left="1080"/>
        <w:rPr>
          <w:rFonts w:ascii="Arial" w:hAnsi="Arial" w:cs="Arial"/>
          <w:sz w:val="24"/>
          <w:szCs w:val="24"/>
        </w:rPr>
      </w:pPr>
      <w:r w:rsidRPr="00587A27">
        <w:rPr>
          <w:rFonts w:ascii="Arial" w:hAnsi="Arial" w:cs="Arial"/>
          <w:sz w:val="24"/>
          <w:szCs w:val="24"/>
        </w:rPr>
        <w:t>ADM 3.11 College Admissions/Readmissions </w:t>
      </w:r>
    </w:p>
    <w:p w14:paraId="1C9BAC53" w14:textId="6EE4BEB5" w:rsidR="00507143" w:rsidRDefault="00CF786E" w:rsidP="00CB0468">
      <w:pPr>
        <w:pStyle w:val="ListParagraph"/>
        <w:spacing w:after="0"/>
        <w:ind w:left="1080"/>
        <w:rPr>
          <w:rFonts w:ascii="Arial" w:hAnsi="Arial" w:cs="Arial"/>
          <w:sz w:val="24"/>
          <w:szCs w:val="24"/>
        </w:rPr>
      </w:pPr>
      <w:r>
        <w:rPr>
          <w:rFonts w:ascii="Arial" w:hAnsi="Arial" w:cs="Arial"/>
          <w:sz w:val="24"/>
          <w:szCs w:val="24"/>
        </w:rPr>
        <w:tab/>
      </w:r>
    </w:p>
    <w:p w14:paraId="1B2EBAE8" w14:textId="77777777" w:rsidR="005C579B" w:rsidRDefault="005C579B" w:rsidP="00802103">
      <w:pPr>
        <w:pStyle w:val="ListParagraph"/>
        <w:spacing w:after="0"/>
        <w:ind w:left="1080"/>
        <w:rPr>
          <w:rFonts w:ascii="Arial" w:hAnsi="Arial" w:cs="Arial"/>
          <w:sz w:val="24"/>
          <w:szCs w:val="24"/>
        </w:rPr>
      </w:pPr>
    </w:p>
    <w:p w14:paraId="39325A8A" w14:textId="77777777" w:rsidR="00587A27" w:rsidRDefault="00FF38E3" w:rsidP="00587A27">
      <w:pPr>
        <w:pStyle w:val="ListParagraph"/>
        <w:numPr>
          <w:ilvl w:val="0"/>
          <w:numId w:val="1"/>
        </w:numPr>
        <w:spacing w:after="0"/>
        <w:rPr>
          <w:rFonts w:ascii="Arial" w:hAnsi="Arial" w:cs="Arial"/>
          <w:sz w:val="24"/>
          <w:szCs w:val="24"/>
        </w:rPr>
      </w:pPr>
      <w:r>
        <w:rPr>
          <w:rFonts w:ascii="Arial" w:hAnsi="Arial" w:cs="Arial"/>
          <w:sz w:val="24"/>
          <w:szCs w:val="24"/>
        </w:rPr>
        <w:t>Disclaimers</w:t>
      </w:r>
    </w:p>
    <w:p w14:paraId="28067DEE" w14:textId="77777777" w:rsidR="00587A27" w:rsidRDefault="00587A27" w:rsidP="00587A27">
      <w:pPr>
        <w:pStyle w:val="ListParagraph"/>
        <w:spacing w:after="0"/>
        <w:ind w:left="1080"/>
        <w:rPr>
          <w:rFonts w:ascii="Arial" w:hAnsi="Arial" w:cs="Arial"/>
          <w:sz w:val="24"/>
          <w:szCs w:val="24"/>
        </w:rPr>
      </w:pPr>
    </w:p>
    <w:p w14:paraId="23874F7D" w14:textId="5BC8237E" w:rsidR="00802103" w:rsidRPr="00587A27" w:rsidRDefault="00802103" w:rsidP="00587A27">
      <w:pPr>
        <w:pStyle w:val="ListParagraph"/>
        <w:spacing w:after="0"/>
        <w:ind w:left="1080"/>
        <w:rPr>
          <w:rFonts w:ascii="Arial" w:hAnsi="Arial" w:cs="Arial"/>
          <w:sz w:val="24"/>
          <w:szCs w:val="24"/>
        </w:rPr>
      </w:pPr>
      <w:r w:rsidRPr="00587A27">
        <w:rPr>
          <w:rFonts w:ascii="Arial" w:hAnsi="Arial" w:cs="Arial"/>
          <w:sz w:val="24"/>
          <w:szCs w:val="24"/>
        </w:rPr>
        <w:t>Nothing in this policy creates a contractual relationship between</w:t>
      </w:r>
      <w:r w:rsidR="00245EC2" w:rsidRPr="00587A27">
        <w:rPr>
          <w:rFonts w:ascii="Arial" w:hAnsi="Arial" w:cs="Arial"/>
          <w:sz w:val="24"/>
          <w:szCs w:val="24"/>
        </w:rPr>
        <w:t xml:space="preserve"> </w:t>
      </w:r>
      <w:r w:rsidR="00E75A17" w:rsidRPr="00587A27">
        <w:rPr>
          <w:rFonts w:ascii="Arial" w:hAnsi="Arial" w:cs="Arial"/>
          <w:sz w:val="24"/>
          <w:szCs w:val="24"/>
        </w:rPr>
        <w:t>SCHS</w:t>
      </w:r>
      <w:r w:rsidRPr="00587A27">
        <w:rPr>
          <w:rFonts w:ascii="Arial" w:hAnsi="Arial" w:cs="Arial"/>
          <w:sz w:val="24"/>
          <w:szCs w:val="24"/>
        </w:rPr>
        <w:t xml:space="preserve"> and any party. </w:t>
      </w:r>
      <w:r w:rsidR="00E75A17" w:rsidRPr="00587A27">
        <w:rPr>
          <w:rFonts w:ascii="Arial" w:hAnsi="Arial" w:cs="Arial"/>
          <w:sz w:val="24"/>
          <w:szCs w:val="24"/>
        </w:rPr>
        <w:t>SCHS</w:t>
      </w:r>
      <w:r w:rsidRPr="00587A27">
        <w:rPr>
          <w:rFonts w:ascii="Arial" w:hAnsi="Arial" w:cs="Arial"/>
          <w:sz w:val="24"/>
          <w:szCs w:val="24"/>
        </w:rPr>
        <w:t>, in its sole discretion, reserves the right to amend, terminate or discontinue this policy at any time, with or without advance notice.</w:t>
      </w:r>
    </w:p>
    <w:p w14:paraId="19012BA1" w14:textId="77777777" w:rsidR="00802103" w:rsidRDefault="00802103" w:rsidP="00802103">
      <w:pPr>
        <w:spacing w:after="0"/>
        <w:rPr>
          <w:rFonts w:ascii="Arial" w:hAnsi="Arial" w:cs="Arial"/>
          <w:sz w:val="24"/>
          <w:szCs w:val="24"/>
        </w:rPr>
      </w:pPr>
    </w:p>
    <w:p w14:paraId="5CF38253" w14:textId="77777777" w:rsidR="00802103" w:rsidRDefault="00802103" w:rsidP="00FF38E3">
      <w:pPr>
        <w:pStyle w:val="ListParagraph"/>
        <w:numPr>
          <w:ilvl w:val="0"/>
          <w:numId w:val="1"/>
        </w:numPr>
        <w:spacing w:after="0"/>
        <w:rPr>
          <w:rFonts w:ascii="Arial" w:hAnsi="Arial" w:cs="Arial"/>
          <w:sz w:val="24"/>
          <w:szCs w:val="24"/>
        </w:rPr>
      </w:pPr>
      <w:r>
        <w:rPr>
          <w:rFonts w:ascii="Arial" w:hAnsi="Arial" w:cs="Arial"/>
          <w:sz w:val="24"/>
          <w:szCs w:val="24"/>
        </w:rPr>
        <w:t>Version Control</w:t>
      </w:r>
    </w:p>
    <w:p w14:paraId="04DB84E5" w14:textId="77777777" w:rsidR="00802103" w:rsidRDefault="00802103" w:rsidP="00802103">
      <w:pPr>
        <w:pStyle w:val="ListParagraph"/>
        <w:spacing w:after="0"/>
        <w:ind w:left="1080"/>
        <w:rPr>
          <w:rFonts w:ascii="Arial" w:hAnsi="Arial" w:cs="Arial"/>
          <w:sz w:val="24"/>
          <w:szCs w:val="24"/>
        </w:rPr>
      </w:pPr>
    </w:p>
    <w:tbl>
      <w:tblPr>
        <w:tblStyle w:val="TableGrid"/>
        <w:tblW w:w="0" w:type="auto"/>
        <w:tblInd w:w="468" w:type="dxa"/>
        <w:tblLook w:val="04A0" w:firstRow="1" w:lastRow="0" w:firstColumn="1" w:lastColumn="0" w:noHBand="0" w:noVBand="1"/>
      </w:tblPr>
      <w:tblGrid>
        <w:gridCol w:w="1414"/>
        <w:gridCol w:w="1597"/>
        <w:gridCol w:w="3143"/>
        <w:gridCol w:w="2728"/>
      </w:tblGrid>
      <w:tr w:rsidR="00802103" w:rsidRPr="00C27FD5" w14:paraId="19393BEC" w14:textId="77777777" w:rsidTr="00C27FD5">
        <w:trPr>
          <w:trHeight w:val="395"/>
        </w:trPr>
        <w:tc>
          <w:tcPr>
            <w:tcW w:w="1440" w:type="dxa"/>
            <w:shd w:val="clear" w:color="auto" w:fill="D9D9D9" w:themeFill="background1" w:themeFillShade="D9"/>
            <w:vAlign w:val="center"/>
          </w:tcPr>
          <w:p w14:paraId="7485F764" w14:textId="77777777" w:rsidR="00802103" w:rsidRPr="00C27FD5" w:rsidRDefault="00802103" w:rsidP="00802103">
            <w:pPr>
              <w:pStyle w:val="ListParagraph"/>
              <w:ind w:left="0"/>
              <w:jc w:val="center"/>
              <w:rPr>
                <w:rFonts w:ascii="Arial" w:hAnsi="Arial" w:cs="Arial"/>
                <w:sz w:val="20"/>
                <w:szCs w:val="20"/>
              </w:rPr>
            </w:pPr>
            <w:r w:rsidRPr="00C27FD5">
              <w:rPr>
                <w:rFonts w:ascii="Arial" w:hAnsi="Arial" w:cs="Arial"/>
                <w:sz w:val="20"/>
                <w:szCs w:val="20"/>
              </w:rPr>
              <w:t>Version</w:t>
            </w:r>
          </w:p>
        </w:tc>
        <w:tc>
          <w:tcPr>
            <w:tcW w:w="1620" w:type="dxa"/>
            <w:shd w:val="clear" w:color="auto" w:fill="D9D9D9" w:themeFill="background1" w:themeFillShade="D9"/>
            <w:vAlign w:val="center"/>
          </w:tcPr>
          <w:p w14:paraId="5270ABFE" w14:textId="77777777" w:rsidR="00802103" w:rsidRPr="00C27FD5" w:rsidRDefault="00802103" w:rsidP="00802103">
            <w:pPr>
              <w:pStyle w:val="ListParagraph"/>
              <w:ind w:left="0"/>
              <w:jc w:val="center"/>
              <w:rPr>
                <w:rFonts w:ascii="Arial" w:hAnsi="Arial" w:cs="Arial"/>
                <w:sz w:val="20"/>
                <w:szCs w:val="20"/>
              </w:rPr>
            </w:pPr>
            <w:r w:rsidRPr="00C27FD5">
              <w:rPr>
                <w:rFonts w:ascii="Arial" w:hAnsi="Arial" w:cs="Arial"/>
                <w:sz w:val="20"/>
                <w:szCs w:val="20"/>
              </w:rPr>
              <w:t>Date</w:t>
            </w:r>
          </w:p>
        </w:tc>
        <w:tc>
          <w:tcPr>
            <w:tcW w:w="3240" w:type="dxa"/>
            <w:shd w:val="clear" w:color="auto" w:fill="D9D9D9" w:themeFill="background1" w:themeFillShade="D9"/>
            <w:vAlign w:val="center"/>
          </w:tcPr>
          <w:p w14:paraId="47830212" w14:textId="77777777" w:rsidR="00802103" w:rsidRPr="00C27FD5" w:rsidRDefault="00802103" w:rsidP="00802103">
            <w:pPr>
              <w:pStyle w:val="ListParagraph"/>
              <w:ind w:left="0"/>
              <w:jc w:val="center"/>
              <w:rPr>
                <w:rFonts w:ascii="Arial" w:hAnsi="Arial" w:cs="Arial"/>
                <w:sz w:val="20"/>
                <w:szCs w:val="20"/>
              </w:rPr>
            </w:pPr>
            <w:r w:rsidRPr="00C27FD5">
              <w:rPr>
                <w:rFonts w:ascii="Arial" w:hAnsi="Arial" w:cs="Arial"/>
                <w:sz w:val="20"/>
                <w:szCs w:val="20"/>
              </w:rPr>
              <w:t>Description</w:t>
            </w:r>
          </w:p>
        </w:tc>
        <w:tc>
          <w:tcPr>
            <w:tcW w:w="2808" w:type="dxa"/>
            <w:shd w:val="clear" w:color="auto" w:fill="D9D9D9" w:themeFill="background1" w:themeFillShade="D9"/>
            <w:vAlign w:val="center"/>
          </w:tcPr>
          <w:p w14:paraId="07F33B5E" w14:textId="77777777" w:rsidR="00802103" w:rsidRPr="00C27FD5" w:rsidRDefault="00C27FD5" w:rsidP="00802103">
            <w:pPr>
              <w:pStyle w:val="ListParagraph"/>
              <w:ind w:left="0"/>
              <w:jc w:val="center"/>
              <w:rPr>
                <w:rFonts w:ascii="Arial" w:hAnsi="Arial" w:cs="Arial"/>
                <w:sz w:val="20"/>
                <w:szCs w:val="20"/>
              </w:rPr>
            </w:pPr>
            <w:r w:rsidRPr="00C27FD5">
              <w:rPr>
                <w:rFonts w:ascii="Arial" w:hAnsi="Arial" w:cs="Arial"/>
                <w:sz w:val="20"/>
                <w:szCs w:val="20"/>
              </w:rPr>
              <w:t>Prepared by</w:t>
            </w:r>
          </w:p>
        </w:tc>
      </w:tr>
      <w:tr w:rsidR="00C27FD5" w14:paraId="4B3E6103" w14:textId="77777777" w:rsidTr="00C27FD5">
        <w:trPr>
          <w:trHeight w:val="440"/>
        </w:trPr>
        <w:tc>
          <w:tcPr>
            <w:tcW w:w="1440" w:type="dxa"/>
            <w:vAlign w:val="center"/>
          </w:tcPr>
          <w:p w14:paraId="43BC9E1B" w14:textId="23D5C54A" w:rsidR="00802103" w:rsidRDefault="00CB0468" w:rsidP="00C27FD5">
            <w:pPr>
              <w:pStyle w:val="ListParagraph"/>
              <w:ind w:left="0"/>
              <w:jc w:val="center"/>
              <w:rPr>
                <w:rFonts w:ascii="Arial" w:hAnsi="Arial" w:cs="Arial"/>
                <w:sz w:val="24"/>
                <w:szCs w:val="24"/>
              </w:rPr>
            </w:pPr>
            <w:r>
              <w:rPr>
                <w:rFonts w:ascii="Arial" w:hAnsi="Arial" w:cs="Arial"/>
                <w:sz w:val="24"/>
                <w:szCs w:val="24"/>
              </w:rPr>
              <w:t>1.0</w:t>
            </w:r>
          </w:p>
        </w:tc>
        <w:tc>
          <w:tcPr>
            <w:tcW w:w="1620" w:type="dxa"/>
            <w:vAlign w:val="center"/>
          </w:tcPr>
          <w:p w14:paraId="360A55B0" w14:textId="76723F46" w:rsidR="00802103" w:rsidRDefault="00F900A7" w:rsidP="00C27FD5">
            <w:pPr>
              <w:pStyle w:val="ListParagraph"/>
              <w:ind w:left="0"/>
              <w:rPr>
                <w:rFonts w:ascii="Arial" w:hAnsi="Arial" w:cs="Arial"/>
                <w:sz w:val="24"/>
                <w:szCs w:val="24"/>
              </w:rPr>
            </w:pPr>
            <w:r>
              <w:rPr>
                <w:rFonts w:ascii="Arial" w:hAnsi="Arial" w:cs="Arial"/>
                <w:sz w:val="24"/>
                <w:szCs w:val="24"/>
              </w:rPr>
              <w:t>8</w:t>
            </w:r>
            <w:r w:rsidR="00CB0468">
              <w:rPr>
                <w:rFonts w:ascii="Arial" w:hAnsi="Arial" w:cs="Arial"/>
                <w:sz w:val="24"/>
                <w:szCs w:val="24"/>
              </w:rPr>
              <w:t>/</w:t>
            </w:r>
            <w:r>
              <w:rPr>
                <w:rFonts w:ascii="Arial" w:hAnsi="Arial" w:cs="Arial"/>
                <w:sz w:val="24"/>
                <w:szCs w:val="24"/>
              </w:rPr>
              <w:t>1</w:t>
            </w:r>
            <w:r w:rsidR="00CB0468">
              <w:rPr>
                <w:rFonts w:ascii="Arial" w:hAnsi="Arial" w:cs="Arial"/>
                <w:sz w:val="24"/>
                <w:szCs w:val="24"/>
              </w:rPr>
              <w:t>/2021</w:t>
            </w:r>
          </w:p>
        </w:tc>
        <w:tc>
          <w:tcPr>
            <w:tcW w:w="3240" w:type="dxa"/>
            <w:vAlign w:val="center"/>
          </w:tcPr>
          <w:p w14:paraId="45861FA6" w14:textId="245C8603" w:rsidR="00802103" w:rsidRDefault="00CB0468" w:rsidP="00C27FD5">
            <w:pPr>
              <w:pStyle w:val="ListParagraph"/>
              <w:ind w:left="0"/>
              <w:rPr>
                <w:rFonts w:ascii="Arial" w:hAnsi="Arial" w:cs="Arial"/>
                <w:sz w:val="24"/>
                <w:szCs w:val="24"/>
              </w:rPr>
            </w:pPr>
            <w:r>
              <w:rPr>
                <w:rFonts w:ascii="Arial" w:hAnsi="Arial" w:cs="Arial"/>
                <w:sz w:val="24"/>
                <w:szCs w:val="24"/>
              </w:rPr>
              <w:t>Revised and new template</w:t>
            </w:r>
          </w:p>
        </w:tc>
        <w:tc>
          <w:tcPr>
            <w:tcW w:w="2808" w:type="dxa"/>
            <w:vAlign w:val="center"/>
          </w:tcPr>
          <w:p w14:paraId="4578ED8F" w14:textId="53374126" w:rsidR="00802103" w:rsidRDefault="00DB41D8" w:rsidP="00C27FD5">
            <w:pPr>
              <w:pStyle w:val="ListParagraph"/>
              <w:ind w:left="0"/>
              <w:rPr>
                <w:rFonts w:ascii="Arial" w:hAnsi="Arial" w:cs="Arial"/>
                <w:sz w:val="24"/>
                <w:szCs w:val="24"/>
              </w:rPr>
            </w:pPr>
            <w:r>
              <w:rPr>
                <w:rFonts w:ascii="Arial" w:hAnsi="Arial" w:cs="Arial"/>
                <w:sz w:val="24"/>
                <w:szCs w:val="24"/>
              </w:rPr>
              <w:t>Student Services</w:t>
            </w:r>
          </w:p>
        </w:tc>
      </w:tr>
    </w:tbl>
    <w:p w14:paraId="331C96AB" w14:textId="77777777" w:rsidR="00802103" w:rsidRPr="00FF38E3" w:rsidRDefault="00802103" w:rsidP="00802103">
      <w:pPr>
        <w:pStyle w:val="ListParagraph"/>
        <w:spacing w:after="0"/>
        <w:ind w:left="1440"/>
        <w:rPr>
          <w:rFonts w:ascii="Arial" w:hAnsi="Arial" w:cs="Arial"/>
          <w:sz w:val="24"/>
          <w:szCs w:val="24"/>
        </w:rPr>
      </w:pPr>
    </w:p>
    <w:sectPr w:rsidR="00802103" w:rsidRPr="00FF38E3" w:rsidSect="00666DC6">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267A" w14:textId="77777777" w:rsidR="00B118F7" w:rsidRDefault="00B118F7" w:rsidP="00B7164F">
      <w:pPr>
        <w:spacing w:after="0" w:line="240" w:lineRule="auto"/>
      </w:pPr>
      <w:r>
        <w:separator/>
      </w:r>
    </w:p>
  </w:endnote>
  <w:endnote w:type="continuationSeparator" w:id="0">
    <w:p w14:paraId="5D3A6E11" w14:textId="77777777" w:rsidR="00B118F7" w:rsidRDefault="00B118F7" w:rsidP="00B7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41CE" w14:textId="77777777" w:rsidR="00CE75DB" w:rsidRDefault="00CE75DB" w:rsidP="00B7164F">
    <w:pPr>
      <w:pStyle w:val="Footer"/>
      <w:tabs>
        <w:tab w:val="clear" w:pos="9360"/>
        <w:tab w:val="right" w:pos="10080"/>
      </w:tabs>
      <w:ind w:left="-630"/>
    </w:pPr>
    <w:r>
      <w:rPr>
        <w:rFonts w:ascii="Gotham Medium" w:hAnsi="Gotham Medium"/>
        <w:noProof/>
        <w:sz w:val="28"/>
        <w:szCs w:val="28"/>
      </w:rPr>
      <mc:AlternateContent>
        <mc:Choice Requires="wps">
          <w:drawing>
            <wp:anchor distT="0" distB="0" distL="114300" distR="114300" simplePos="0" relativeHeight="251663360" behindDoc="0" locked="0" layoutInCell="1" allowOverlap="1" wp14:anchorId="38749B4B" wp14:editId="5667D694">
              <wp:simplePos x="0" y="0"/>
              <wp:positionH relativeFrom="column">
                <wp:posOffset>-558165</wp:posOffset>
              </wp:positionH>
              <wp:positionV relativeFrom="paragraph">
                <wp:posOffset>114935</wp:posOffset>
              </wp:positionV>
              <wp:extent cx="68580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noFill/>
                      <a:ln w="38100" cap="flat" cmpd="sng" algn="ctr">
                        <a:solidFill>
                          <a:schemeClr val="accent1">
                            <a:lumMod val="40000"/>
                            <a:lumOff val="60000"/>
                          </a:schemeClr>
                        </a:solidFill>
                        <a:prstDash val="solid"/>
                      </a:ln>
                      <a:effectLst/>
                    </wps:spPr>
                    <wps:bodyPr/>
                  </wps:wsp>
                </a:graphicData>
              </a:graphic>
            </wp:anchor>
          </w:drawing>
        </mc:Choice>
        <mc:Fallback>
          <w:pict>
            <v:line w14:anchorId="2CA283DD"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95pt,9.05pt" to="496.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" strokecolor="#b8cce4 [1300]" strokeweight="3pt"/>
          </w:pict>
        </mc:Fallback>
      </mc:AlternateContent>
    </w:r>
  </w:p>
  <w:p w14:paraId="43946E40" w14:textId="1E3A5044" w:rsidR="00BC1E41" w:rsidRDefault="00B7164F" w:rsidP="00CF786E">
    <w:pPr>
      <w:pStyle w:val="Footer"/>
      <w:tabs>
        <w:tab w:val="clear" w:pos="9360"/>
        <w:tab w:val="right" w:pos="10080"/>
      </w:tabs>
      <w:ind w:left="-630"/>
    </w:pPr>
    <w:r>
      <w:t xml:space="preserve">Policy Name:  </w:t>
    </w:r>
    <w:r w:rsidR="00DB41D8">
      <w:t>Academic Progression</w:t>
    </w:r>
  </w:p>
  <w:p w14:paraId="3056752D" w14:textId="43BE3803" w:rsidR="00A809AF" w:rsidRDefault="00A809AF" w:rsidP="00CF786E">
    <w:pPr>
      <w:pStyle w:val="Footer"/>
      <w:tabs>
        <w:tab w:val="clear" w:pos="9360"/>
        <w:tab w:val="right" w:pos="10080"/>
      </w:tabs>
      <w:ind w:left="-630"/>
    </w:pPr>
    <w:r>
      <w:t>Version:</w:t>
    </w:r>
    <w:r w:rsidR="00DB41D8">
      <w:t xml:space="preserve"> </w:t>
    </w:r>
    <w:r w:rsidR="00CB0468">
      <w:t>1.</w:t>
    </w:r>
    <w:r w:rsidR="006E3BBA">
      <w:t>0</w:t>
    </w:r>
    <w:r w:rsidR="00D21FA0">
      <w:t xml:space="preserve">           </w:t>
    </w:r>
    <w:r>
      <w:t xml:space="preserve"> </w:t>
    </w:r>
    <w:r w:rsidR="00CF786E">
      <w:t xml:space="preserve"> </w:t>
    </w:r>
    <w:r>
      <w:t xml:space="preserve"> </w:t>
    </w:r>
    <w:r w:rsidR="00BC1E41">
      <w:t xml:space="preserve">                    </w:t>
    </w:r>
    <w:r>
      <w:t xml:space="preserve">    </w:t>
    </w:r>
    <w:r w:rsidR="00CF786E">
      <w:t xml:space="preserve"> </w:t>
    </w:r>
    <w:r>
      <w:t xml:space="preserve">  </w:t>
    </w:r>
    <w:r w:rsidR="00F900A7">
      <w:t xml:space="preserve">                 </w:t>
    </w:r>
    <w:r>
      <w:t xml:space="preserve"> </w:t>
    </w:r>
    <w:r w:rsidR="00912206">
      <w:t xml:space="preserve"> </w:t>
    </w:r>
    <w:sdt>
      <w:sdtPr>
        <w:id w:val="1265028165"/>
        <w:docPartObj>
          <w:docPartGallery w:val="Page Numbers (Bottom of Page)"/>
          <w:docPartUnique/>
        </w:docPartObj>
      </w:sdtPr>
      <w:sdtEndPr/>
      <w:sdtContent>
        <w:sdt>
          <w:sdtPr>
            <w:id w:val="-410927400"/>
            <w:docPartObj>
              <w:docPartGallery w:val="Page Numbers (Top of Page)"/>
              <w:docPartUnique/>
            </w:docPartObj>
          </w:sdtPr>
          <w:sdtEndPr/>
          <w:sdtContent>
            <w:r w:rsidR="00DB41D8">
              <w:t xml:space="preserve">  </w:t>
            </w:r>
            <w:r>
              <w:t xml:space="preserve">Original Date: </w:t>
            </w:r>
          </w:sdtContent>
        </w:sdt>
      </w:sdtContent>
    </w:sdt>
    <w:r>
      <w:t>0</w:t>
    </w:r>
    <w:r w:rsidR="00F900A7">
      <w:t>8</w:t>
    </w:r>
    <w:r>
      <w:t>/0</w:t>
    </w:r>
    <w:r w:rsidR="00F900A7">
      <w:t>1</w:t>
    </w:r>
    <w:r>
      <w:t>/</w:t>
    </w:r>
    <w:r w:rsidR="00F900A7">
      <w:t>2021</w:t>
    </w:r>
  </w:p>
  <w:p w14:paraId="7FDA16B6" w14:textId="1072663D" w:rsidR="00A809AF" w:rsidRDefault="00B7164F" w:rsidP="00CF786E">
    <w:pPr>
      <w:pStyle w:val="Footer"/>
      <w:tabs>
        <w:tab w:val="clear" w:pos="9360"/>
        <w:tab w:val="right" w:pos="10080"/>
      </w:tabs>
      <w:ind w:left="-630"/>
    </w:pPr>
    <w:r>
      <w:t>Last Revi</w:t>
    </w:r>
    <w:r w:rsidR="00766873">
      <w:t>ewed</w:t>
    </w:r>
    <w:r>
      <w:t xml:space="preserve"> Date: </w:t>
    </w:r>
    <w:r w:rsidR="00CE75DB">
      <w:t>0</w:t>
    </w:r>
    <w:r w:rsidR="00F900A7">
      <w:t>8</w:t>
    </w:r>
    <w:r w:rsidR="00CE75DB">
      <w:t>/0</w:t>
    </w:r>
    <w:r w:rsidR="00F900A7">
      <w:t>1</w:t>
    </w:r>
    <w:r w:rsidR="00CE75DB">
      <w:t>/</w:t>
    </w:r>
    <w:r w:rsidR="00F900A7">
      <w:t>2021</w:t>
    </w:r>
    <w:r w:rsidRPr="00CF786E">
      <w:t xml:space="preserve">        </w:t>
    </w:r>
    <w:r w:rsidR="00766873">
      <w:t xml:space="preserve">    </w:t>
    </w:r>
    <w:r w:rsidR="00CE75DB" w:rsidRPr="00CF786E">
      <w:t xml:space="preserve"> </w:t>
    </w:r>
    <w:r w:rsidRPr="00CF786E">
      <w:t xml:space="preserve"> </w:t>
    </w:r>
    <w:r w:rsidR="00F900A7">
      <w:tab/>
    </w:r>
    <w:r w:rsidR="00766873">
      <w:t xml:space="preserve">Last Modified Date: </w:t>
    </w:r>
    <w:r w:rsidR="00833D2F">
      <w:t>0</w:t>
    </w:r>
    <w:r w:rsidR="00F900A7">
      <w:t>8</w:t>
    </w:r>
    <w:r w:rsidR="00833D2F">
      <w:t>/0</w:t>
    </w:r>
    <w:r w:rsidR="00F900A7">
      <w:t>1</w:t>
    </w:r>
    <w:r w:rsidR="00833D2F">
      <w:t>/</w:t>
    </w:r>
    <w:r w:rsidR="00F900A7">
      <w:t>2021</w:t>
    </w:r>
    <w:r w:rsidR="00766873">
      <w:t xml:space="preserve"> </w:t>
    </w:r>
    <w:r w:rsidR="00CF786E" w:rsidRPr="00CF786E">
      <w:t xml:space="preserve">                                               </w:t>
    </w:r>
    <w:r w:rsidR="00A809AF" w:rsidRPr="00CF786E">
      <w:t xml:space="preserve">Page </w:t>
    </w:r>
    <w:r w:rsidR="00A809AF" w:rsidRPr="00CF786E">
      <w:rPr>
        <w:bCs/>
        <w:sz w:val="24"/>
        <w:szCs w:val="24"/>
      </w:rPr>
      <w:fldChar w:fldCharType="begin"/>
    </w:r>
    <w:r w:rsidR="00A809AF" w:rsidRPr="00CF786E">
      <w:rPr>
        <w:bCs/>
      </w:rPr>
      <w:instrText xml:space="preserve"> PAGE </w:instrText>
    </w:r>
    <w:r w:rsidR="00A809AF" w:rsidRPr="00CF786E">
      <w:rPr>
        <w:bCs/>
        <w:sz w:val="24"/>
        <w:szCs w:val="24"/>
      </w:rPr>
      <w:fldChar w:fldCharType="separate"/>
    </w:r>
    <w:r w:rsidR="001A2D7A">
      <w:rPr>
        <w:bCs/>
        <w:noProof/>
      </w:rPr>
      <w:t>1</w:t>
    </w:r>
    <w:r w:rsidR="00A809AF" w:rsidRPr="00CF786E">
      <w:rPr>
        <w:bCs/>
        <w:sz w:val="24"/>
        <w:szCs w:val="24"/>
      </w:rPr>
      <w:fldChar w:fldCharType="end"/>
    </w:r>
    <w:r w:rsidR="00A809AF" w:rsidRPr="00CF786E">
      <w:t xml:space="preserve"> of </w:t>
    </w:r>
    <w:r w:rsidR="00A809AF" w:rsidRPr="00CF786E">
      <w:rPr>
        <w:bCs/>
        <w:sz w:val="24"/>
        <w:szCs w:val="24"/>
      </w:rPr>
      <w:fldChar w:fldCharType="begin"/>
    </w:r>
    <w:r w:rsidR="00A809AF" w:rsidRPr="00CF786E">
      <w:rPr>
        <w:bCs/>
      </w:rPr>
      <w:instrText xml:space="preserve"> NUMPAGES  </w:instrText>
    </w:r>
    <w:r w:rsidR="00A809AF" w:rsidRPr="00CF786E">
      <w:rPr>
        <w:bCs/>
        <w:sz w:val="24"/>
        <w:szCs w:val="24"/>
      </w:rPr>
      <w:fldChar w:fldCharType="separate"/>
    </w:r>
    <w:r w:rsidR="001A2D7A">
      <w:rPr>
        <w:bCs/>
        <w:noProof/>
      </w:rPr>
      <w:t>2</w:t>
    </w:r>
    <w:r w:rsidR="00A809AF" w:rsidRPr="00CF786E">
      <w:rPr>
        <w:bCs/>
        <w:sz w:val="24"/>
        <w:szCs w:val="24"/>
      </w:rPr>
      <w:fldChar w:fldCharType="end"/>
    </w:r>
  </w:p>
  <w:p w14:paraId="6CA63C60" w14:textId="77777777" w:rsidR="00B7164F" w:rsidRDefault="00B7164F" w:rsidP="00CE75DB">
    <w:pPr>
      <w:pStyle w:val="Footer"/>
      <w:tabs>
        <w:tab w:val="clear" w:pos="9360"/>
        <w:tab w:val="right" w:pos="10080"/>
      </w:tabs>
      <w:ind w:left="-630"/>
      <w:jc w:val="both"/>
    </w:pPr>
    <w:r>
      <w:t xml:space="preserve">         </w:t>
    </w:r>
    <w:sdt>
      <w:sdtPr>
        <w:id w:val="-211806015"/>
        <w:docPartObj>
          <w:docPartGallery w:val="Page Numbers (Bottom of Page)"/>
          <w:docPartUnique/>
        </w:docPartObj>
      </w:sdtPr>
      <w:sdtEndPr/>
      <w:sdtContent>
        <w:sdt>
          <w:sdtPr>
            <w:id w:val="860082579"/>
            <w:docPartObj>
              <w:docPartGallery w:val="Page Numbers (Top of Page)"/>
              <w:docPartUnique/>
            </w:docPartObj>
          </w:sdtPr>
          <w:sdtEndPr/>
          <w:sdtContent>
            <w:r w:rsidR="00912206">
              <w:t xml:space="preserve"> </w:t>
            </w:r>
          </w:sdtContent>
        </w:sdt>
      </w:sdtContent>
    </w:sdt>
  </w:p>
  <w:p w14:paraId="40671D3F" w14:textId="77777777" w:rsidR="00B7164F" w:rsidRDefault="00B7164F" w:rsidP="00CE75DB">
    <w:pPr>
      <w:pStyle w:val="Footer"/>
      <w:tabs>
        <w:tab w:val="clear" w:pos="9360"/>
        <w:tab w:val="right" w:pos="10080"/>
      </w:tabs>
      <w:ind w:left="-630"/>
      <w:jc w:val="both"/>
    </w:pPr>
    <w:r>
      <w:t xml:space="preserve">  </w:t>
    </w:r>
    <w:r w:rsidR="00CE75DB">
      <w:t xml:space="preserve">          </w:t>
    </w:r>
    <w:r>
      <w:t xml:space="preserve">    </w:t>
    </w:r>
    <w:r w:rsidR="00CE75DB">
      <w:t xml:space="preserve">                             </w:t>
    </w:r>
    <w:r>
      <w:t xml:space="preserve">    </w:t>
    </w:r>
  </w:p>
  <w:p w14:paraId="4ED9C2CB" w14:textId="77777777" w:rsidR="00CE75DB" w:rsidRDefault="00CE75DB" w:rsidP="00CE75DB">
    <w:pPr>
      <w:pStyle w:val="Footer"/>
      <w:tabs>
        <w:tab w:val="clear" w:pos="9360"/>
        <w:tab w:val="right" w:pos="10080"/>
      </w:tabs>
      <w:ind w:left="-63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2807" w14:textId="77777777" w:rsidR="00B118F7" w:rsidRDefault="00B118F7" w:rsidP="00B7164F">
      <w:pPr>
        <w:spacing w:after="0" w:line="240" w:lineRule="auto"/>
      </w:pPr>
      <w:r>
        <w:separator/>
      </w:r>
    </w:p>
  </w:footnote>
  <w:footnote w:type="continuationSeparator" w:id="0">
    <w:p w14:paraId="01A99FEE" w14:textId="77777777" w:rsidR="00B118F7" w:rsidRDefault="00B118F7" w:rsidP="00B71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8CC9" w14:textId="5D6D0300" w:rsidR="00912206" w:rsidRDefault="00E75A17" w:rsidP="000C6C72">
    <w:pPr>
      <w:spacing w:after="0" w:line="240" w:lineRule="auto"/>
      <w:rPr>
        <w:rFonts w:ascii="Gotham Medium" w:hAnsi="Gotham Medium"/>
        <w:sz w:val="28"/>
        <w:szCs w:val="28"/>
      </w:rPr>
    </w:pPr>
    <w:r>
      <w:rPr>
        <w:rFonts w:ascii="Gotham Medium" w:hAnsi="Gotham Medium"/>
        <w:b/>
        <w:noProof/>
        <w:sz w:val="28"/>
        <w:szCs w:val="28"/>
      </w:rPr>
      <w:drawing>
        <wp:inline distT="0" distB="0" distL="0" distR="0" wp14:anchorId="15D5DBB5" wp14:editId="6147D8C1">
          <wp:extent cx="3797300" cy="58257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thside College of Health Sciences-Logo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9332" cy="598232"/>
                  </a:xfrm>
                  <a:prstGeom prst="rect">
                    <a:avLst/>
                  </a:prstGeom>
                </pic:spPr>
              </pic:pic>
            </a:graphicData>
          </a:graphic>
        </wp:inline>
      </w:drawing>
    </w:r>
    <w:r w:rsidR="000C6C72">
      <w:rPr>
        <w:rFonts w:ascii="Gotham Medium" w:hAnsi="Gotham Medium"/>
        <w:b/>
        <w:sz w:val="28"/>
        <w:szCs w:val="28"/>
      </w:rPr>
      <w:t xml:space="preserve">    </w:t>
    </w:r>
    <w:r w:rsidR="007E3F1F">
      <w:rPr>
        <w:rFonts w:ascii="Gotham Medium" w:hAnsi="Gotham Medium"/>
        <w:b/>
        <w:sz w:val="28"/>
        <w:szCs w:val="28"/>
      </w:rPr>
      <w:tab/>
    </w:r>
    <w:r w:rsidR="007E3F1F">
      <w:rPr>
        <w:rFonts w:ascii="Gotham Medium" w:hAnsi="Gotham Medium"/>
        <w:b/>
        <w:sz w:val="28"/>
        <w:szCs w:val="28"/>
      </w:rPr>
      <w:tab/>
      <w:t xml:space="preserve">  </w:t>
    </w:r>
    <w:r w:rsidR="007E3F1F">
      <w:rPr>
        <w:rFonts w:ascii="Gotham Medium" w:hAnsi="Gotham Medium"/>
        <w:b/>
        <w:sz w:val="28"/>
        <w:szCs w:val="28"/>
      </w:rPr>
      <w:tab/>
      <w:t xml:space="preserve">POLICY </w:t>
    </w:r>
  </w:p>
  <w:p w14:paraId="08A0E605" w14:textId="77777777" w:rsidR="00912206" w:rsidRDefault="00912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03B9B"/>
    <w:multiLevelType w:val="hybridMultilevel"/>
    <w:tmpl w:val="F7F8A9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4EF5563"/>
    <w:multiLevelType w:val="hybridMultilevel"/>
    <w:tmpl w:val="6ABC1DE6"/>
    <w:lvl w:ilvl="0" w:tplc="D1A42A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F04297"/>
    <w:multiLevelType w:val="hybridMultilevel"/>
    <w:tmpl w:val="BE30A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8E3"/>
    <w:rsid w:val="00030B6D"/>
    <w:rsid w:val="00031357"/>
    <w:rsid w:val="00057975"/>
    <w:rsid w:val="000C6C72"/>
    <w:rsid w:val="000E5D31"/>
    <w:rsid w:val="001773F8"/>
    <w:rsid w:val="001A2D7A"/>
    <w:rsid w:val="00245EC2"/>
    <w:rsid w:val="00270EF3"/>
    <w:rsid w:val="002D48C5"/>
    <w:rsid w:val="00382F25"/>
    <w:rsid w:val="0038677F"/>
    <w:rsid w:val="003C120E"/>
    <w:rsid w:val="003F1715"/>
    <w:rsid w:val="004128B3"/>
    <w:rsid w:val="004E10D1"/>
    <w:rsid w:val="004F0D5E"/>
    <w:rsid w:val="00507143"/>
    <w:rsid w:val="00587A27"/>
    <w:rsid w:val="005913A9"/>
    <w:rsid w:val="005C579B"/>
    <w:rsid w:val="00606E48"/>
    <w:rsid w:val="00616C8E"/>
    <w:rsid w:val="00666DC6"/>
    <w:rsid w:val="006748E8"/>
    <w:rsid w:val="006E3BBA"/>
    <w:rsid w:val="0072678C"/>
    <w:rsid w:val="007440B2"/>
    <w:rsid w:val="00766873"/>
    <w:rsid w:val="007C6D8B"/>
    <w:rsid w:val="007E3F1F"/>
    <w:rsid w:val="007F348B"/>
    <w:rsid w:val="00802103"/>
    <w:rsid w:val="00833135"/>
    <w:rsid w:val="00833D2F"/>
    <w:rsid w:val="008804B4"/>
    <w:rsid w:val="00890D67"/>
    <w:rsid w:val="008B6CCC"/>
    <w:rsid w:val="00912206"/>
    <w:rsid w:val="009C32CC"/>
    <w:rsid w:val="009C711D"/>
    <w:rsid w:val="00A809AF"/>
    <w:rsid w:val="00AF7717"/>
    <w:rsid w:val="00B118F7"/>
    <w:rsid w:val="00B61DC6"/>
    <w:rsid w:val="00B7164F"/>
    <w:rsid w:val="00BC1E41"/>
    <w:rsid w:val="00BF49F3"/>
    <w:rsid w:val="00C27FD5"/>
    <w:rsid w:val="00C32F2A"/>
    <w:rsid w:val="00CB0468"/>
    <w:rsid w:val="00CB58F6"/>
    <w:rsid w:val="00CC57E9"/>
    <w:rsid w:val="00CD028A"/>
    <w:rsid w:val="00CE75DB"/>
    <w:rsid w:val="00CF786E"/>
    <w:rsid w:val="00D21FA0"/>
    <w:rsid w:val="00D44159"/>
    <w:rsid w:val="00D854D5"/>
    <w:rsid w:val="00DB41D8"/>
    <w:rsid w:val="00E11282"/>
    <w:rsid w:val="00E134AC"/>
    <w:rsid w:val="00E516FC"/>
    <w:rsid w:val="00E5497F"/>
    <w:rsid w:val="00E75A17"/>
    <w:rsid w:val="00E82E89"/>
    <w:rsid w:val="00EB64BA"/>
    <w:rsid w:val="00F36BB9"/>
    <w:rsid w:val="00F42B4D"/>
    <w:rsid w:val="00F535AF"/>
    <w:rsid w:val="00F57645"/>
    <w:rsid w:val="00F900A7"/>
    <w:rsid w:val="00FB47D9"/>
    <w:rsid w:val="00FF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7EDAB"/>
  <w15:docId w15:val="{17B5E8E2-F248-4F3C-81AB-C491C3DC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8E3"/>
    <w:pPr>
      <w:ind w:left="720"/>
      <w:contextualSpacing/>
    </w:pPr>
  </w:style>
  <w:style w:type="table" w:styleId="TableGrid">
    <w:name w:val="Table Grid"/>
    <w:basedOn w:val="TableNormal"/>
    <w:uiPriority w:val="59"/>
    <w:rsid w:val="00802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1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4F"/>
  </w:style>
  <w:style w:type="paragraph" w:styleId="Footer">
    <w:name w:val="footer"/>
    <w:basedOn w:val="Normal"/>
    <w:link w:val="FooterChar"/>
    <w:uiPriority w:val="99"/>
    <w:unhideWhenUsed/>
    <w:rsid w:val="00B71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64F"/>
  </w:style>
  <w:style w:type="paragraph" w:styleId="BalloonText">
    <w:name w:val="Balloon Text"/>
    <w:basedOn w:val="Normal"/>
    <w:link w:val="BalloonTextChar"/>
    <w:uiPriority w:val="99"/>
    <w:semiHidden/>
    <w:unhideWhenUsed/>
    <w:rsid w:val="00B71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64235">
      <w:bodyDiv w:val="1"/>
      <w:marLeft w:val="0"/>
      <w:marRight w:val="0"/>
      <w:marTop w:val="0"/>
      <w:marBottom w:val="0"/>
      <w:divBdr>
        <w:top w:val="none" w:sz="0" w:space="0" w:color="auto"/>
        <w:left w:val="none" w:sz="0" w:space="0" w:color="auto"/>
        <w:bottom w:val="none" w:sz="0" w:space="0" w:color="auto"/>
        <w:right w:val="none" w:sz="0" w:space="0" w:color="auto"/>
      </w:divBdr>
      <w:divsChild>
        <w:div w:id="260531092">
          <w:marLeft w:val="0"/>
          <w:marRight w:val="0"/>
          <w:marTop w:val="0"/>
          <w:marBottom w:val="0"/>
          <w:divBdr>
            <w:top w:val="none" w:sz="0" w:space="0" w:color="auto"/>
            <w:left w:val="none" w:sz="0" w:space="0" w:color="auto"/>
            <w:bottom w:val="none" w:sz="0" w:space="0" w:color="auto"/>
            <w:right w:val="none" w:sz="0" w:space="0" w:color="auto"/>
          </w:divBdr>
        </w:div>
        <w:div w:id="1410276112">
          <w:marLeft w:val="0"/>
          <w:marRight w:val="0"/>
          <w:marTop w:val="0"/>
          <w:marBottom w:val="0"/>
          <w:divBdr>
            <w:top w:val="none" w:sz="0" w:space="0" w:color="auto"/>
            <w:left w:val="none" w:sz="0" w:space="0" w:color="auto"/>
            <w:bottom w:val="none" w:sz="0" w:space="0" w:color="auto"/>
            <w:right w:val="none" w:sz="0" w:space="0" w:color="auto"/>
          </w:divBdr>
        </w:div>
        <w:div w:id="1359358916">
          <w:marLeft w:val="0"/>
          <w:marRight w:val="0"/>
          <w:marTop w:val="0"/>
          <w:marBottom w:val="0"/>
          <w:divBdr>
            <w:top w:val="none" w:sz="0" w:space="0" w:color="auto"/>
            <w:left w:val="none" w:sz="0" w:space="0" w:color="auto"/>
            <w:bottom w:val="none" w:sz="0" w:space="0" w:color="auto"/>
            <w:right w:val="none" w:sz="0" w:space="0" w:color="auto"/>
          </w:divBdr>
        </w:div>
        <w:div w:id="567620426">
          <w:marLeft w:val="0"/>
          <w:marRight w:val="0"/>
          <w:marTop w:val="0"/>
          <w:marBottom w:val="0"/>
          <w:divBdr>
            <w:top w:val="none" w:sz="0" w:space="0" w:color="auto"/>
            <w:left w:val="none" w:sz="0" w:space="0" w:color="auto"/>
            <w:bottom w:val="none" w:sz="0" w:space="0" w:color="auto"/>
            <w:right w:val="none" w:sz="0" w:space="0" w:color="auto"/>
          </w:divBdr>
        </w:div>
        <w:div w:id="906189598">
          <w:marLeft w:val="0"/>
          <w:marRight w:val="0"/>
          <w:marTop w:val="0"/>
          <w:marBottom w:val="0"/>
          <w:divBdr>
            <w:top w:val="none" w:sz="0" w:space="0" w:color="auto"/>
            <w:left w:val="none" w:sz="0" w:space="0" w:color="auto"/>
            <w:bottom w:val="none" w:sz="0" w:space="0" w:color="auto"/>
            <w:right w:val="none" w:sz="0" w:space="0" w:color="auto"/>
          </w:divBdr>
        </w:div>
        <w:div w:id="71520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3B2CFF6A2638418AC256B4FAF24045" ma:contentTypeVersion="4" ma:contentTypeDescription="Create a new document." ma:contentTypeScope="" ma:versionID="d49be98d296a3a1391781d23cff4394b">
  <xsd:schema xmlns:xsd="http://www.w3.org/2001/XMLSchema" xmlns:xs="http://www.w3.org/2001/XMLSchema" xmlns:p="http://schemas.microsoft.com/office/2006/metadata/properties" xmlns:ns2="dca89472-f261-4eaf-92c8-754877b0af81" targetNamespace="http://schemas.microsoft.com/office/2006/metadata/properties" ma:root="true" ma:fieldsID="1ceed5ca8452a0c445dd341701c70752" ns2:_="">
    <xsd:import namespace="dca89472-f261-4eaf-92c8-754877b0af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89472-f261-4eaf-92c8-754877b0a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6F56C-38D6-41A7-A522-91A59FEF920F}">
  <ds:schemaRefs>
    <ds:schemaRef ds:uri="http://schemas.microsoft.com/sharepoint/v3/contenttype/forms"/>
  </ds:schemaRefs>
</ds:datastoreItem>
</file>

<file path=customXml/itemProps2.xml><?xml version="1.0" encoding="utf-8"?>
<ds:datastoreItem xmlns:ds="http://schemas.openxmlformats.org/officeDocument/2006/customXml" ds:itemID="{90A668D0-066B-4E4F-9053-1BA7FDDB04B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ca89472-f261-4eaf-92c8-754877b0af81"/>
    <ds:schemaRef ds:uri="http://www.w3.org/XML/1998/namespace"/>
  </ds:schemaRefs>
</ds:datastoreItem>
</file>

<file path=customXml/itemProps3.xml><?xml version="1.0" encoding="utf-8"?>
<ds:datastoreItem xmlns:ds="http://schemas.openxmlformats.org/officeDocument/2006/customXml" ds:itemID="{17BA3039-EF3C-41EB-AF50-6319D5DF1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89472-f261-4eaf-92c8-754877b0a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Bon Secours Health System, Inc.</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Roberson, Patricia D</dc:creator>
  <cp:lastModifiedBy>Abraham, Rachel</cp:lastModifiedBy>
  <cp:revision>20</cp:revision>
  <cp:lastPrinted>2022-09-09T17:54:00Z</cp:lastPrinted>
  <dcterms:created xsi:type="dcterms:W3CDTF">2021-08-05T13:20:00Z</dcterms:created>
  <dcterms:modified xsi:type="dcterms:W3CDTF">2022-09-09T17:54:00Z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0x010100533B2CFF6A2638418AC256B4FAF24045</vt:lpwstr>
  </property>
</Properties>
</file>